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434F73">
      <w:pPr>
        <w:rPr>
          <w:rFonts w:hint="eastAsia" w:ascii="仿宋" w:hAnsi="仿宋" w:eastAsia="仿宋" w:cs="仿宋"/>
          <w:b/>
          <w:bCs/>
          <w:sz w:val="24"/>
        </w:rPr>
      </w:pPr>
      <w:bookmarkStart w:id="0" w:name="_Toc351203652"/>
      <w:r>
        <w:rPr>
          <w:rFonts w:hint="eastAsia" w:ascii="仿宋" w:hAnsi="仿宋" w:eastAsia="仿宋" w:cs="仿宋"/>
          <w:b/>
          <w:bCs/>
          <w:sz w:val="24"/>
        </w:rPr>
        <w:t>甲方：西安市精神卫生中心</w:t>
      </w:r>
    </w:p>
    <w:p w14:paraId="1B16ECCB">
      <w:pPr>
        <w:pStyle w:val="2"/>
        <w:spacing w:before="78" w:line="219" w:lineRule="auto"/>
        <w:jc w:val="left"/>
        <w:rPr>
          <w:rFonts w:hint="eastAsia" w:ascii="仿宋" w:hAnsi="仿宋" w:eastAsia="仿宋" w:cs="仿宋"/>
          <w:color w:val="000000"/>
          <w:sz w:val="24"/>
        </w:rPr>
      </w:pPr>
      <w:r>
        <w:rPr>
          <w:rFonts w:hint="eastAsia" w:ascii="仿宋" w:hAnsi="仿宋" w:eastAsia="仿宋" w:cs="仿宋"/>
          <w:b/>
          <w:bCs/>
          <w:sz w:val="24"/>
        </w:rPr>
        <w:t>乙方：</w:t>
      </w:r>
    </w:p>
    <w:p w14:paraId="6EE34D68">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根据《中华人民共和国民法典》、《中华人民共和国建筑法》及其他有关法律、法规规定，甲乙双方遵循平等、自愿、公平和诚实信用的原则，就</w:t>
      </w:r>
      <w:r>
        <w:rPr>
          <w:rFonts w:hint="eastAsia" w:ascii="仿宋" w:hAnsi="仿宋" w:eastAsia="仿宋" w:cs="仿宋"/>
          <w:color w:val="000000"/>
          <w:sz w:val="24"/>
          <w:lang w:eastAsia="zh-CN"/>
        </w:rPr>
        <w:t>西</w:t>
      </w:r>
      <w:r>
        <w:rPr>
          <w:rFonts w:hint="eastAsia" w:ascii="仿宋" w:hAnsi="仿宋" w:eastAsia="仿宋" w:cs="仿宋"/>
          <w:color w:val="auto"/>
          <w:sz w:val="24"/>
          <w:szCs w:val="24"/>
          <w:u w:val="single"/>
          <w:lang w:val="en-US" w:eastAsia="zh-CN"/>
        </w:rPr>
        <w:t>安市精神卫生中心污水站设备更新</w:t>
      </w:r>
      <w:r>
        <w:rPr>
          <w:rFonts w:hint="eastAsia" w:ascii="仿宋" w:hAnsi="仿宋" w:eastAsia="仿宋" w:cs="仿宋"/>
          <w:color w:val="000000"/>
          <w:sz w:val="24"/>
          <w:lang w:val="en-US" w:eastAsia="zh-CN"/>
        </w:rPr>
        <w:t>项目</w:t>
      </w:r>
      <w:r>
        <w:rPr>
          <w:rFonts w:hint="eastAsia" w:ascii="仿宋" w:hAnsi="仿宋" w:eastAsia="仿宋" w:cs="仿宋"/>
          <w:color w:val="000000"/>
          <w:sz w:val="24"/>
        </w:rPr>
        <w:t>相关事宜，经协商一致，签订本合同。</w:t>
      </w:r>
    </w:p>
    <w:p w14:paraId="7E7D5032">
      <w:pPr>
        <w:pStyle w:val="3"/>
        <w:numPr>
          <w:ilvl w:val="0"/>
          <w:numId w:val="1"/>
        </w:numPr>
        <w:rPr>
          <w:rFonts w:hint="eastAsia" w:ascii="仿宋" w:hAnsi="仿宋" w:eastAsia="仿宋" w:cs="仿宋"/>
        </w:rPr>
      </w:pPr>
      <w:bookmarkStart w:id="1" w:name="_Toc146208006"/>
      <w:r>
        <w:rPr>
          <w:rFonts w:hint="eastAsia" w:ascii="仿宋" w:hAnsi="仿宋" w:eastAsia="仿宋" w:cs="仿宋"/>
        </w:rPr>
        <w:t>工程概况</w:t>
      </w:r>
      <w:bookmarkEnd w:id="1"/>
    </w:p>
    <w:p w14:paraId="4B544826">
      <w:pPr>
        <w:pStyle w:val="15"/>
        <w:spacing w:line="400" w:lineRule="exact"/>
        <w:ind w:firstLine="48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1、工程名称：</w:t>
      </w:r>
    </w:p>
    <w:p w14:paraId="6B9AAA92">
      <w:pPr>
        <w:pStyle w:val="15"/>
        <w:spacing w:line="400" w:lineRule="exact"/>
        <w:ind w:firstLine="480"/>
        <w:rPr>
          <w:rFonts w:hint="eastAsia" w:ascii="仿宋" w:hAnsi="仿宋" w:eastAsia="仿宋" w:cs="仿宋"/>
          <w:color w:val="000000"/>
          <w:sz w:val="24"/>
        </w:rPr>
      </w:pPr>
      <w:r>
        <w:rPr>
          <w:rFonts w:hint="eastAsia" w:ascii="仿宋" w:hAnsi="仿宋" w:eastAsia="仿宋" w:cs="仿宋"/>
          <w:color w:val="auto"/>
          <w:kern w:val="2"/>
          <w:sz w:val="24"/>
          <w:szCs w:val="24"/>
          <w:lang w:val="en-US" w:eastAsia="zh-CN" w:bidi="ar-SA"/>
        </w:rPr>
        <w:t>2、工程地点：西安市精神卫生中心</w:t>
      </w:r>
    </w:p>
    <w:p w14:paraId="7F98DC0B">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3．工期：</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lang w:val="en-US" w:eastAsia="zh-CN"/>
        </w:rPr>
        <w:t>个日历日</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日至</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14:paraId="020D023D">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（1）若因乙方原因停工或返工，导致工期延误，由乙方承担一切费用，并按照工程款的5％每日向甲方支付违约金；</w:t>
      </w:r>
    </w:p>
    <w:p w14:paraId="5F632DD8">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（2）若因甲方原因或天气、政府政策等不可抗力因素导致延误，乙方作书面说明后，</w:t>
      </w:r>
      <w:r>
        <w:rPr>
          <w:rFonts w:hint="eastAsia" w:ascii="仿宋" w:hAnsi="仿宋" w:eastAsia="仿宋" w:cs="仿宋"/>
          <w:color w:val="000000"/>
          <w:sz w:val="24"/>
          <w:lang w:val="en-US" w:eastAsia="zh-CN"/>
        </w:rPr>
        <w:t>得到甲方认可后</w:t>
      </w:r>
      <w:r>
        <w:rPr>
          <w:rFonts w:hint="eastAsia" w:ascii="仿宋" w:hAnsi="仿宋" w:eastAsia="仿宋" w:cs="仿宋"/>
          <w:color w:val="000000"/>
          <w:sz w:val="24"/>
        </w:rPr>
        <w:t>合理顺延工期。</w:t>
      </w:r>
    </w:p>
    <w:p w14:paraId="55CD6F9E">
      <w:pPr>
        <w:widowControl/>
        <w:spacing w:line="360" w:lineRule="auto"/>
        <w:ind w:firstLine="480" w:firstLineChars="200"/>
        <w:jc w:val="left"/>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lang w:val="en-US" w:eastAsia="zh-CN"/>
        </w:rPr>
        <w:t>4.工程</w:t>
      </w:r>
      <w:r>
        <w:rPr>
          <w:rFonts w:hint="eastAsia" w:ascii="仿宋" w:hAnsi="仿宋" w:eastAsia="仿宋" w:cs="仿宋"/>
          <w:color w:val="auto"/>
          <w:kern w:val="0"/>
          <w:sz w:val="24"/>
          <w:highlight w:val="none"/>
        </w:rPr>
        <w:t>承包范围：本项目的</w:t>
      </w:r>
      <w:r>
        <w:rPr>
          <w:rFonts w:hint="eastAsia" w:ascii="仿宋" w:hAnsi="仿宋" w:eastAsia="仿宋" w:cs="仿宋"/>
          <w:color w:val="auto"/>
          <w:kern w:val="0"/>
          <w:sz w:val="24"/>
          <w:highlight w:val="none"/>
          <w:lang w:eastAsia="zh-CN"/>
        </w:rPr>
        <w:t>设计优化</w:t>
      </w:r>
      <w:r>
        <w:rPr>
          <w:rFonts w:hint="eastAsia" w:ascii="仿宋" w:hAnsi="仿宋" w:eastAsia="仿宋" w:cs="仿宋"/>
          <w:color w:val="auto"/>
          <w:kern w:val="0"/>
          <w:sz w:val="24"/>
          <w:highlight w:val="none"/>
        </w:rPr>
        <w:t>、施工和采购，直至竣工验收合格并整体移交、工程保修期内的缺陷修复和保修工作，同时承担相关协调工作。</w:t>
      </w:r>
    </w:p>
    <w:p w14:paraId="56B0A54E">
      <w:pPr>
        <w:pStyle w:val="16"/>
        <w:rPr>
          <w:rFonts w:hint="eastAsia" w:ascii="仿宋" w:hAnsi="仿宋" w:eastAsia="仿宋" w:cs="仿宋"/>
        </w:rPr>
      </w:pPr>
    </w:p>
    <w:p w14:paraId="2D0D1A9A">
      <w:pPr>
        <w:pStyle w:val="3"/>
        <w:rPr>
          <w:rFonts w:hint="eastAsia" w:ascii="仿宋" w:hAnsi="仿宋" w:eastAsia="仿宋" w:cs="仿宋"/>
        </w:rPr>
      </w:pPr>
      <w:bookmarkStart w:id="2" w:name="_Toc146208007"/>
      <w:r>
        <w:rPr>
          <w:rFonts w:hint="eastAsia" w:ascii="仿宋" w:hAnsi="仿宋" w:eastAsia="仿宋" w:cs="仿宋"/>
        </w:rPr>
        <w:t>二、工程价款及支付方式</w:t>
      </w:r>
      <w:bookmarkEnd w:id="2"/>
    </w:p>
    <w:p w14:paraId="5078C39B">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1．本合同为固定总价合同交钥匙工程，合同总价为：</w:t>
      </w:r>
    </w:p>
    <w:p w14:paraId="71712B4E">
      <w:pPr>
        <w:spacing w:line="360" w:lineRule="auto"/>
        <w:ind w:firstLine="840" w:firstLineChars="350"/>
        <w:rPr>
          <w:rFonts w:hint="eastAsia" w:ascii="仿宋" w:hAnsi="仿宋" w:eastAsia="仿宋" w:cs="仿宋"/>
          <w:color w:val="000000"/>
          <w:sz w:val="24"/>
          <w:lang w:val="en-US" w:eastAsia="zh-CN"/>
        </w:rPr>
      </w:pPr>
      <w:r>
        <w:rPr>
          <w:rFonts w:hint="eastAsia" w:ascii="仿宋" w:hAnsi="仿宋" w:eastAsia="仿宋" w:cs="仿宋"/>
          <w:color w:val="000000"/>
          <w:sz w:val="24"/>
        </w:rPr>
        <w:t xml:space="preserve">大写： </w:t>
      </w:r>
      <w:r>
        <w:rPr>
          <w:rFonts w:hint="eastAsia" w:ascii="仿宋" w:hAnsi="仿宋" w:eastAsia="仿宋" w:cs="仿宋"/>
          <w:spacing w:val="3"/>
          <w:sz w:val="24"/>
          <w:szCs w:val="24"/>
          <w:u w:val="single" w:color="auto"/>
        </w:rPr>
        <w:t xml:space="preserve"> </w:t>
      </w:r>
      <w:r>
        <w:rPr>
          <w:rFonts w:hint="eastAsia" w:ascii="仿宋" w:hAnsi="仿宋" w:eastAsia="仿宋" w:cs="仿宋"/>
          <w:spacing w:val="-2"/>
          <w:sz w:val="24"/>
          <w:szCs w:val="24"/>
          <w:u w:val="single" w:color="auto"/>
        </w:rPr>
        <w:t>(人民币)</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小写：</w:t>
      </w:r>
      <w:r>
        <w:rPr>
          <w:rFonts w:hint="eastAsia" w:ascii="仿宋" w:hAnsi="仿宋" w:eastAsia="仿宋" w:cs="仿宋"/>
          <w:spacing w:val="-2"/>
          <w:sz w:val="24"/>
          <w:szCs w:val="24"/>
          <w:u w:val="single" w:color="auto"/>
        </w:rPr>
        <w:t>¥</w:t>
      </w:r>
      <w:r>
        <w:rPr>
          <w:rFonts w:hint="eastAsia" w:ascii="仿宋" w:hAnsi="仿宋" w:eastAsia="仿宋" w:cs="仿宋"/>
          <w:spacing w:val="-87"/>
          <w:sz w:val="24"/>
          <w:szCs w:val="24"/>
          <w:u w:val="single" w:color="auto"/>
        </w:rPr>
        <w:t xml:space="preserve"> </w:t>
      </w:r>
      <w:r>
        <w:rPr>
          <w:rFonts w:hint="eastAsia" w:ascii="仿宋" w:hAnsi="仿宋" w:eastAsia="仿宋" w:cs="仿宋"/>
          <w:spacing w:val="-2"/>
          <w:sz w:val="24"/>
          <w:szCs w:val="24"/>
          <w:u w:val="single" w:color="auto"/>
        </w:rPr>
        <w:t xml:space="preserve">：  </w:t>
      </w:r>
      <w:r>
        <w:rPr>
          <w:rFonts w:hint="eastAsia" w:ascii="仿宋" w:hAnsi="仿宋" w:eastAsia="仿宋" w:cs="仿宋"/>
          <w:spacing w:val="-2"/>
          <w:sz w:val="24"/>
          <w:szCs w:val="24"/>
          <w:u w:val="single" w:color="auto"/>
          <w:lang w:val="en-US" w:eastAsia="zh-CN"/>
        </w:rPr>
        <w:t>元</w:t>
      </w:r>
      <w:r>
        <w:rPr>
          <w:rFonts w:hint="eastAsia" w:ascii="仿宋" w:hAnsi="仿宋" w:eastAsia="仿宋" w:cs="仿宋"/>
          <w:spacing w:val="-2"/>
          <w:sz w:val="24"/>
          <w:szCs w:val="24"/>
          <w:u w:val="single" w:color="auto"/>
        </w:rPr>
        <w:t xml:space="preserve">    </w:t>
      </w:r>
    </w:p>
    <w:p w14:paraId="2A1AE699">
      <w:pPr>
        <w:pStyle w:val="15"/>
        <w:spacing w:line="360" w:lineRule="auto"/>
        <w:ind w:firstLine="480"/>
        <w:rPr>
          <w:rFonts w:hint="eastAsia" w:ascii="仿宋" w:hAnsi="仿宋" w:eastAsia="仿宋" w:cs="仿宋"/>
          <w:sz w:val="24"/>
        </w:rPr>
      </w:pPr>
      <w:bookmarkStart w:id="3" w:name="_Toc146208008"/>
      <w:r>
        <w:rPr>
          <w:rFonts w:hint="eastAsia" w:ascii="仿宋" w:hAnsi="仿宋" w:eastAsia="仿宋" w:cs="仿宋"/>
          <w:sz w:val="24"/>
        </w:rPr>
        <w:t>（1）支付方式：</w:t>
      </w:r>
      <w:r>
        <w:rPr>
          <w:rFonts w:hint="eastAsia" w:ascii="仿宋" w:hAnsi="仿宋" w:eastAsia="仿宋" w:cs="仿宋"/>
          <w:sz w:val="24"/>
          <w:lang w:val="en-US" w:eastAsia="zh-CN"/>
        </w:rPr>
        <w:t>合同签订后30日内支付合同总价的30</w:t>
      </w:r>
      <w:r>
        <w:rPr>
          <w:rFonts w:hint="eastAsia" w:ascii="仿宋" w:hAnsi="仿宋" w:eastAsia="仿宋" w:cs="仿宋"/>
          <w:sz w:val="24"/>
        </w:rPr>
        <w:t>%</w:t>
      </w:r>
      <w:r>
        <w:rPr>
          <w:rFonts w:hint="eastAsia" w:ascii="仿宋" w:hAnsi="仿宋" w:eastAsia="仿宋" w:cs="仿宋"/>
          <w:sz w:val="24"/>
          <w:lang w:val="en-US" w:eastAsia="zh-CN"/>
        </w:rPr>
        <w:t>，</w:t>
      </w:r>
      <w:r>
        <w:rPr>
          <w:rFonts w:hint="eastAsia" w:ascii="仿宋" w:hAnsi="仿宋" w:eastAsia="仿宋" w:cs="仿宋"/>
          <w:sz w:val="24"/>
        </w:rPr>
        <w:t>工程竣工、</w:t>
      </w:r>
      <w:r>
        <w:rPr>
          <w:rFonts w:hint="eastAsia" w:ascii="仿宋" w:hAnsi="仿宋" w:eastAsia="仿宋" w:cs="仿宋"/>
          <w:sz w:val="24"/>
          <w:lang w:eastAsia="zh-CN"/>
        </w:rPr>
        <w:t>初验收</w:t>
      </w:r>
      <w:r>
        <w:rPr>
          <w:rFonts w:hint="eastAsia" w:ascii="仿宋" w:hAnsi="仿宋" w:eastAsia="仿宋" w:cs="仿宋"/>
          <w:sz w:val="24"/>
        </w:rPr>
        <w:t>验收合格并移交资料后，</w:t>
      </w:r>
      <w:r>
        <w:rPr>
          <w:rFonts w:hint="eastAsia" w:ascii="仿宋" w:hAnsi="仿宋" w:eastAsia="仿宋" w:cs="仿宋"/>
          <w:sz w:val="24"/>
          <w:lang w:val="en-US" w:eastAsia="zh-CN"/>
        </w:rPr>
        <w:t>30日内</w:t>
      </w:r>
      <w:r>
        <w:rPr>
          <w:rFonts w:hint="eastAsia" w:ascii="仿宋" w:hAnsi="仿宋" w:eastAsia="仿宋" w:cs="仿宋"/>
          <w:sz w:val="24"/>
        </w:rPr>
        <w:t>支付合同总价的</w:t>
      </w:r>
      <w:r>
        <w:rPr>
          <w:rFonts w:hint="eastAsia" w:ascii="仿宋" w:hAnsi="仿宋" w:eastAsia="仿宋" w:cs="仿宋"/>
          <w:sz w:val="24"/>
          <w:lang w:val="en-US" w:eastAsia="zh-CN"/>
        </w:rPr>
        <w:t>65</w:t>
      </w:r>
      <w:r>
        <w:rPr>
          <w:rFonts w:hint="eastAsia" w:ascii="仿宋" w:hAnsi="仿宋" w:eastAsia="仿宋" w:cs="仿宋"/>
          <w:sz w:val="24"/>
        </w:rPr>
        <w:t>%，</w:t>
      </w:r>
      <w:r>
        <w:rPr>
          <w:rFonts w:hint="eastAsia" w:ascii="仿宋" w:hAnsi="仿宋" w:eastAsia="仿宋" w:cs="仿宋"/>
          <w:sz w:val="24"/>
          <w:lang w:eastAsia="zh-CN"/>
        </w:rPr>
        <w:t>设备设施正常运转</w:t>
      </w:r>
      <w:r>
        <w:rPr>
          <w:rFonts w:hint="eastAsia" w:ascii="仿宋" w:hAnsi="仿宋" w:eastAsia="仿宋" w:cs="仿宋"/>
          <w:sz w:val="24"/>
          <w:lang w:val="en-US" w:eastAsia="zh-CN"/>
        </w:rPr>
        <w:t>两年终验收合格后，30日内</w:t>
      </w:r>
      <w:r>
        <w:rPr>
          <w:rFonts w:hint="eastAsia" w:ascii="仿宋" w:hAnsi="仿宋" w:eastAsia="仿宋" w:cs="仿宋"/>
          <w:sz w:val="24"/>
        </w:rPr>
        <w:t>支付合同总价</w:t>
      </w:r>
      <w:r>
        <w:rPr>
          <w:rFonts w:hint="eastAsia" w:ascii="仿宋" w:hAnsi="仿宋" w:eastAsia="仿宋" w:cs="仿宋"/>
          <w:sz w:val="24"/>
          <w:lang w:eastAsia="zh-CN"/>
        </w:rPr>
        <w:t>的</w:t>
      </w:r>
      <w:r>
        <w:rPr>
          <w:rFonts w:hint="eastAsia" w:ascii="仿宋" w:hAnsi="仿宋" w:eastAsia="仿宋" w:cs="仿宋"/>
          <w:sz w:val="24"/>
          <w:lang w:val="en-US" w:eastAsia="zh-CN"/>
        </w:rPr>
        <w:t>5</w:t>
      </w:r>
      <w:r>
        <w:rPr>
          <w:rFonts w:hint="eastAsia" w:ascii="仿宋" w:hAnsi="仿宋" w:eastAsia="仿宋" w:cs="仿宋"/>
          <w:sz w:val="24"/>
        </w:rPr>
        <w:t>%。</w:t>
      </w:r>
    </w:p>
    <w:p w14:paraId="73C97C0E">
      <w:pPr>
        <w:pStyle w:val="15"/>
        <w:spacing w:line="360" w:lineRule="auto"/>
        <w:ind w:firstLine="480"/>
        <w:rPr>
          <w:rFonts w:hint="eastAsia" w:ascii="仿宋" w:hAnsi="仿宋" w:eastAsia="仿宋" w:cs="仿宋"/>
          <w:sz w:val="24"/>
        </w:rPr>
      </w:pPr>
      <w:r>
        <w:rPr>
          <w:rFonts w:hint="eastAsia" w:ascii="仿宋" w:hAnsi="仿宋" w:eastAsia="仿宋" w:cs="仿宋"/>
          <w:sz w:val="24"/>
        </w:rPr>
        <w:t>（2）结算方式：银行转账，乙方在接收付款前开具等额发票给甲方，并持中标通知书、合同、发票、项目验收单等材料与甲方结算。乙方未按照约定提供发票时，甲方有权拒付费用且不承担任何责任。</w:t>
      </w:r>
    </w:p>
    <w:p w14:paraId="565A549A">
      <w:pPr>
        <w:pStyle w:val="15"/>
        <w:spacing w:line="360" w:lineRule="auto"/>
        <w:ind w:firstLine="480"/>
        <w:rPr>
          <w:rFonts w:hint="eastAsia" w:ascii="仿宋" w:hAnsi="仿宋" w:eastAsia="仿宋" w:cs="仿宋"/>
          <w:sz w:val="24"/>
        </w:rPr>
      </w:pPr>
      <w:r>
        <w:rPr>
          <w:rFonts w:hint="eastAsia" w:ascii="仿宋" w:hAnsi="仿宋" w:eastAsia="仿宋" w:cs="仿宋"/>
          <w:sz w:val="24"/>
          <w:lang w:val="en-US" w:eastAsia="zh-CN"/>
        </w:rPr>
        <w:t>乙方</w:t>
      </w:r>
      <w:r>
        <w:rPr>
          <w:rFonts w:hint="eastAsia" w:ascii="仿宋" w:hAnsi="仿宋" w:eastAsia="仿宋" w:cs="仿宋"/>
          <w:sz w:val="24"/>
        </w:rPr>
        <w:t>账户全称：</w:t>
      </w:r>
    </w:p>
    <w:p w14:paraId="1E06F6FF">
      <w:pPr>
        <w:pStyle w:val="15"/>
        <w:spacing w:line="360" w:lineRule="auto"/>
        <w:ind w:firstLine="480"/>
        <w:rPr>
          <w:rFonts w:hint="eastAsia" w:ascii="仿宋" w:hAnsi="仿宋" w:eastAsia="仿宋" w:cs="仿宋"/>
          <w:sz w:val="24"/>
        </w:rPr>
      </w:pPr>
      <w:r>
        <w:rPr>
          <w:rFonts w:hint="eastAsia" w:ascii="仿宋" w:hAnsi="仿宋" w:eastAsia="仿宋" w:cs="仿宋"/>
          <w:sz w:val="24"/>
        </w:rPr>
        <w:t xml:space="preserve">账 </w:t>
      </w:r>
      <w:r>
        <w:rPr>
          <w:rFonts w:hint="eastAsia" w:ascii="仿宋" w:hAnsi="仿宋" w:eastAsia="仿宋" w:cs="仿宋"/>
          <w:sz w:val="24"/>
          <w:lang w:val="en-US" w:eastAsia="zh-CN"/>
        </w:rPr>
        <w:t xml:space="preserve">      </w:t>
      </w:r>
      <w:r>
        <w:rPr>
          <w:rFonts w:hint="eastAsia" w:ascii="仿宋" w:hAnsi="仿宋" w:eastAsia="仿宋" w:cs="仿宋"/>
          <w:sz w:val="24"/>
        </w:rPr>
        <w:t xml:space="preserve"> 号：</w:t>
      </w:r>
    </w:p>
    <w:p w14:paraId="43F66484">
      <w:pPr>
        <w:pStyle w:val="15"/>
        <w:spacing w:line="360" w:lineRule="auto"/>
        <w:ind w:firstLine="480"/>
        <w:rPr>
          <w:rFonts w:hint="eastAsia" w:ascii="仿宋" w:hAnsi="仿宋" w:eastAsia="仿宋" w:cs="仿宋"/>
          <w:sz w:val="24"/>
        </w:rPr>
      </w:pPr>
      <w:r>
        <w:rPr>
          <w:rFonts w:hint="eastAsia" w:ascii="仿宋" w:hAnsi="仿宋" w:eastAsia="仿宋" w:cs="仿宋"/>
          <w:sz w:val="24"/>
        </w:rPr>
        <w:t>开</w:t>
      </w:r>
      <w:r>
        <w:rPr>
          <w:rFonts w:hint="eastAsia" w:ascii="仿宋" w:hAnsi="仿宋" w:eastAsia="仿宋" w:cs="仿宋"/>
          <w:sz w:val="24"/>
          <w:lang w:val="en-US" w:eastAsia="zh-CN"/>
        </w:rPr>
        <w:t xml:space="preserve"> </w:t>
      </w:r>
      <w:r>
        <w:rPr>
          <w:rFonts w:hint="eastAsia" w:ascii="仿宋" w:hAnsi="仿宋" w:eastAsia="仿宋" w:cs="仿宋"/>
          <w:sz w:val="24"/>
        </w:rPr>
        <w:t xml:space="preserve"> </w:t>
      </w:r>
      <w:r>
        <w:rPr>
          <w:rFonts w:hint="eastAsia" w:ascii="仿宋" w:hAnsi="仿宋" w:eastAsia="仿宋" w:cs="仿宋"/>
          <w:sz w:val="24"/>
          <w:lang w:val="en-US" w:eastAsia="zh-CN"/>
        </w:rPr>
        <w:t xml:space="preserve"> </w:t>
      </w:r>
      <w:r>
        <w:rPr>
          <w:rFonts w:hint="eastAsia" w:ascii="仿宋" w:hAnsi="仿宋" w:eastAsia="仿宋" w:cs="仿宋"/>
          <w:sz w:val="24"/>
        </w:rPr>
        <w:t>户</w:t>
      </w:r>
      <w:r>
        <w:rPr>
          <w:rFonts w:hint="eastAsia" w:ascii="仿宋" w:hAnsi="仿宋" w:eastAsia="仿宋" w:cs="仿宋"/>
          <w:sz w:val="24"/>
          <w:lang w:val="en-US" w:eastAsia="zh-CN"/>
        </w:rPr>
        <w:t xml:space="preserve"> </w:t>
      </w:r>
      <w:r>
        <w:rPr>
          <w:rFonts w:hint="eastAsia" w:ascii="仿宋" w:hAnsi="仿宋" w:eastAsia="仿宋" w:cs="仿宋"/>
          <w:sz w:val="24"/>
        </w:rPr>
        <w:t xml:space="preserve"> </w:t>
      </w:r>
      <w:r>
        <w:rPr>
          <w:rFonts w:hint="eastAsia" w:ascii="仿宋" w:hAnsi="仿宋" w:eastAsia="仿宋" w:cs="仿宋"/>
          <w:sz w:val="24"/>
          <w:lang w:val="en-US" w:eastAsia="zh-CN"/>
        </w:rPr>
        <w:t xml:space="preserve"> </w:t>
      </w:r>
      <w:r>
        <w:rPr>
          <w:rFonts w:hint="eastAsia" w:ascii="仿宋" w:hAnsi="仿宋" w:eastAsia="仿宋" w:cs="仿宋"/>
          <w:sz w:val="24"/>
        </w:rPr>
        <w:t>行：</w:t>
      </w:r>
    </w:p>
    <w:p w14:paraId="5496FFFB">
      <w:pPr>
        <w:pStyle w:val="15"/>
        <w:spacing w:line="360" w:lineRule="auto"/>
        <w:ind w:firstLine="480"/>
        <w:rPr>
          <w:rFonts w:hint="eastAsia" w:ascii="仿宋" w:hAnsi="仿宋" w:eastAsia="仿宋" w:cs="仿宋"/>
          <w:sz w:val="24"/>
        </w:rPr>
      </w:pPr>
      <w:r>
        <w:rPr>
          <w:rFonts w:hint="eastAsia" w:ascii="仿宋" w:hAnsi="仿宋" w:eastAsia="仿宋" w:cs="仿宋"/>
          <w:sz w:val="24"/>
        </w:rPr>
        <w:t>甲方仅认可上述指定账户并向该账户付款。甲方有权拒绝向指定账户之外的任何账户付款，并且由此导致的付款延迟责任由乙方承担。</w:t>
      </w:r>
    </w:p>
    <w:bookmarkEnd w:id="3"/>
    <w:p w14:paraId="59DE5401">
      <w:pPr>
        <w:pStyle w:val="3"/>
        <w:rPr>
          <w:rFonts w:hint="eastAsia" w:ascii="仿宋" w:hAnsi="仿宋" w:eastAsia="仿宋" w:cs="仿宋"/>
        </w:rPr>
      </w:pPr>
      <w:bookmarkStart w:id="4" w:name="_Toc146208009"/>
      <w:bookmarkStart w:id="5" w:name="_Hlk486005177"/>
      <w:r>
        <w:rPr>
          <w:rFonts w:hint="eastAsia" w:ascii="仿宋" w:hAnsi="仿宋" w:eastAsia="仿宋" w:cs="仿宋"/>
        </w:rPr>
        <w:t>三、质量要求</w:t>
      </w:r>
      <w:bookmarkEnd w:id="4"/>
    </w:p>
    <w:bookmarkEnd w:id="5"/>
    <w:p w14:paraId="0DB2EAC1">
      <w:pPr>
        <w:spacing w:line="360" w:lineRule="auto"/>
        <w:ind w:firstLine="480" w:firstLineChars="200"/>
        <w:rPr>
          <w:rFonts w:hint="eastAsia" w:ascii="仿宋" w:hAnsi="仿宋" w:eastAsia="仿宋" w:cs="仿宋"/>
          <w:sz w:val="24"/>
        </w:rPr>
      </w:pPr>
      <w:r>
        <w:rPr>
          <w:rFonts w:hint="eastAsia" w:ascii="仿宋" w:hAnsi="仿宋" w:eastAsia="仿宋" w:cs="仿宋"/>
          <w:color w:val="000000"/>
          <w:sz w:val="24"/>
        </w:rPr>
        <w:t>1．</w:t>
      </w:r>
      <w:r>
        <w:rPr>
          <w:rFonts w:hint="eastAsia" w:ascii="仿宋" w:hAnsi="仿宋" w:eastAsia="仿宋" w:cs="仿宋"/>
          <w:sz w:val="24"/>
        </w:rPr>
        <w:t>本工程质量等级为“合格”，并一次性验收合格。乙方必须严格按照国家颁发的建筑工程规范、规定和标准进行施工，并接受甲方派驻现场代表的监督；</w:t>
      </w:r>
    </w:p>
    <w:p w14:paraId="62FA7FC4">
      <w:pPr>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color w:val="000000"/>
          <w:sz w:val="24"/>
        </w:rPr>
        <w:t>2．</w:t>
      </w:r>
      <w:r>
        <w:rPr>
          <w:rFonts w:hint="eastAsia" w:ascii="仿宋" w:hAnsi="仿宋" w:eastAsia="仿宋" w:cs="仿宋"/>
          <w:sz w:val="24"/>
        </w:rPr>
        <w:t>对于在检查检验过程中发现的工程质量达不到约定标准的部分，乙方应根据甲方要求进行返工，直到符合约定标准</w:t>
      </w:r>
      <w:r>
        <w:rPr>
          <w:rFonts w:hint="eastAsia" w:ascii="仿宋" w:hAnsi="仿宋" w:eastAsia="仿宋" w:cs="仿宋"/>
          <w:sz w:val="24"/>
          <w:lang w:val="en-US" w:eastAsia="zh-CN"/>
        </w:rPr>
        <w:t>但不得延误工期</w:t>
      </w:r>
      <w:r>
        <w:rPr>
          <w:rFonts w:hint="eastAsia" w:ascii="仿宋" w:hAnsi="仿宋" w:eastAsia="仿宋" w:cs="仿宋"/>
          <w:sz w:val="24"/>
        </w:rPr>
        <w:t>；</w:t>
      </w:r>
    </w:p>
    <w:p w14:paraId="1E4E225F">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3．由乙方负责采购的主材应提供材料合格证、购买发票</w:t>
      </w:r>
      <w:r>
        <w:rPr>
          <w:rFonts w:hint="eastAsia" w:ascii="仿宋" w:hAnsi="仿宋" w:eastAsia="仿宋" w:cs="仿宋"/>
          <w:color w:val="000000"/>
          <w:sz w:val="24"/>
          <w:lang w:val="en-US" w:eastAsia="zh-CN"/>
        </w:rPr>
        <w:t>及检验报告</w:t>
      </w:r>
      <w:r>
        <w:rPr>
          <w:rFonts w:hint="eastAsia" w:ascii="仿宋" w:hAnsi="仿宋" w:eastAsia="仿宋" w:cs="仿宋"/>
          <w:color w:val="000000"/>
          <w:sz w:val="24"/>
        </w:rPr>
        <w:t>等有效质量证明材料。如发现主材的规格、数量、质量有任何问题，乙方需无条件更换，并承担一切责任。</w:t>
      </w:r>
    </w:p>
    <w:p w14:paraId="7EE1D079">
      <w:pPr>
        <w:pStyle w:val="3"/>
        <w:rPr>
          <w:rFonts w:hint="eastAsia" w:ascii="仿宋" w:hAnsi="仿宋" w:eastAsia="仿宋" w:cs="仿宋"/>
          <w:color w:val="000000"/>
          <w:sz w:val="24"/>
        </w:rPr>
      </w:pPr>
      <w:bookmarkStart w:id="6" w:name="_Toc146208010"/>
      <w:r>
        <w:rPr>
          <w:rFonts w:hint="eastAsia" w:ascii="仿宋" w:hAnsi="仿宋" w:eastAsia="仿宋" w:cs="仿宋"/>
        </w:rPr>
        <w:t>四、甲方责任</w:t>
      </w:r>
      <w:bookmarkEnd w:id="6"/>
    </w:p>
    <w:p w14:paraId="688A487D">
      <w:pPr>
        <w:spacing w:line="360" w:lineRule="auto"/>
        <w:ind w:left="921" w:leftChars="267" w:hanging="360" w:hangingChars="150"/>
        <w:rPr>
          <w:rFonts w:hint="eastAsia" w:ascii="仿宋" w:hAnsi="仿宋" w:eastAsia="仿宋" w:cs="仿宋"/>
          <w:color w:val="000000"/>
          <w:sz w:val="24"/>
        </w:rPr>
      </w:pPr>
      <w:r>
        <w:rPr>
          <w:rFonts w:hint="eastAsia" w:ascii="仿宋" w:hAnsi="仿宋" w:eastAsia="仿宋" w:cs="仿宋"/>
          <w:color w:val="000000"/>
          <w:sz w:val="24"/>
          <w:lang w:val="en-US" w:eastAsia="zh-CN"/>
        </w:rPr>
        <w:t>1</w:t>
      </w:r>
      <w:r>
        <w:rPr>
          <w:rFonts w:hint="eastAsia" w:ascii="仿宋" w:hAnsi="仿宋" w:eastAsia="仿宋" w:cs="仿宋"/>
          <w:color w:val="000000"/>
          <w:sz w:val="24"/>
        </w:rPr>
        <w:t>．工程竣工验收</w:t>
      </w:r>
      <w:r>
        <w:rPr>
          <w:rFonts w:hint="eastAsia" w:ascii="仿宋" w:hAnsi="仿宋" w:eastAsia="仿宋" w:cs="仿宋"/>
          <w:color w:val="000000"/>
          <w:sz w:val="24"/>
          <w:lang w:val="en-US" w:eastAsia="zh-CN"/>
        </w:rPr>
        <w:t>并且乙方资料齐全</w:t>
      </w:r>
      <w:r>
        <w:rPr>
          <w:rFonts w:hint="eastAsia" w:ascii="仿宋" w:hAnsi="仿宋" w:eastAsia="仿宋" w:cs="仿宋"/>
          <w:color w:val="000000"/>
          <w:sz w:val="24"/>
        </w:rPr>
        <w:t>后，甲方应及时按照合同约定支付工程款；</w:t>
      </w:r>
    </w:p>
    <w:p w14:paraId="2E760D93">
      <w:pPr>
        <w:spacing w:line="360" w:lineRule="auto"/>
        <w:ind w:firstLine="480" w:firstLineChars="200"/>
        <w:rPr>
          <w:rFonts w:hint="eastAsia" w:ascii="仿宋" w:hAnsi="仿宋" w:eastAsia="仿宋" w:cs="仿宋"/>
          <w:color w:val="000000"/>
          <w:sz w:val="24"/>
          <w:lang w:eastAsia="zh-CN"/>
        </w:rPr>
      </w:pPr>
      <w:r>
        <w:rPr>
          <w:rFonts w:hint="eastAsia" w:ascii="仿宋" w:hAnsi="仿宋" w:eastAsia="仿宋" w:cs="仿宋"/>
          <w:color w:val="000000"/>
          <w:sz w:val="24"/>
          <w:lang w:val="en-US" w:eastAsia="zh-CN"/>
        </w:rPr>
        <w:t>2</w:t>
      </w:r>
      <w:r>
        <w:rPr>
          <w:rFonts w:hint="eastAsia" w:ascii="仿宋" w:hAnsi="仿宋" w:eastAsia="仿宋" w:cs="仿宋"/>
          <w:color w:val="000000"/>
          <w:sz w:val="24"/>
        </w:rPr>
        <w:t>．甲方派驻施工现场代表</w:t>
      </w:r>
      <w:r>
        <w:rPr>
          <w:rFonts w:hint="eastAsia" w:ascii="仿宋" w:hAnsi="仿宋" w:eastAsia="仿宋" w:cs="仿宋"/>
          <w:color w:val="000000"/>
          <w:sz w:val="24"/>
          <w:lang w:eastAsia="zh-CN"/>
        </w:rPr>
        <w:t>（</w:t>
      </w:r>
      <w:r>
        <w:rPr>
          <w:rFonts w:hint="eastAsia" w:ascii="仿宋" w:hAnsi="仿宋" w:eastAsia="仿宋" w:cs="仿宋"/>
          <w:color w:val="000000"/>
          <w:sz w:val="24"/>
          <w:lang w:val="en-US" w:eastAsia="zh-CN"/>
        </w:rPr>
        <w:t>姓名：    联系方式：   ）</w:t>
      </w:r>
      <w:r>
        <w:rPr>
          <w:rFonts w:hint="eastAsia" w:ascii="仿宋" w:hAnsi="仿宋" w:eastAsia="仿宋" w:cs="仿宋"/>
          <w:color w:val="000000"/>
          <w:sz w:val="24"/>
        </w:rPr>
        <w:t>对工程全过程进行监督、验收</w:t>
      </w:r>
      <w:r>
        <w:rPr>
          <w:rFonts w:hint="eastAsia" w:ascii="仿宋" w:hAnsi="仿宋" w:eastAsia="仿宋" w:cs="仿宋"/>
          <w:color w:val="000000"/>
          <w:sz w:val="24"/>
          <w:lang w:eastAsia="zh-CN"/>
        </w:rPr>
        <w:t>。</w:t>
      </w:r>
    </w:p>
    <w:p w14:paraId="0D0ED821">
      <w:pPr>
        <w:pStyle w:val="16"/>
        <w:rPr>
          <w:rFonts w:hint="eastAsia" w:ascii="仿宋" w:hAnsi="仿宋" w:eastAsia="仿宋" w:cs="仿宋"/>
          <w:lang w:val="en-US" w:eastAsia="zh-CN"/>
        </w:rPr>
      </w:pPr>
    </w:p>
    <w:p w14:paraId="5EB31E06">
      <w:pPr>
        <w:pStyle w:val="3"/>
        <w:rPr>
          <w:rFonts w:hint="eastAsia" w:ascii="仿宋" w:hAnsi="仿宋" w:eastAsia="仿宋" w:cs="仿宋"/>
        </w:rPr>
      </w:pPr>
      <w:bookmarkStart w:id="7" w:name="_Toc146208011"/>
      <w:r>
        <w:rPr>
          <w:rFonts w:hint="eastAsia" w:ascii="仿宋" w:hAnsi="仿宋" w:eastAsia="仿宋" w:cs="仿宋"/>
        </w:rPr>
        <w:t>五、乙方责任</w:t>
      </w:r>
      <w:bookmarkEnd w:id="7"/>
    </w:p>
    <w:p w14:paraId="4D54AAFE">
      <w:pPr>
        <w:widowControl/>
        <w:spacing w:line="360" w:lineRule="auto"/>
        <w:ind w:firstLine="480" w:firstLineChars="200"/>
        <w:jc w:val="left"/>
        <w:rPr>
          <w:rFonts w:hint="eastAsia" w:ascii="仿宋" w:hAnsi="仿宋" w:eastAsia="仿宋" w:cs="仿宋"/>
          <w:color w:val="000000"/>
          <w:sz w:val="24"/>
          <w:lang w:val="en-US" w:eastAsia="zh-CN"/>
        </w:rPr>
      </w:pPr>
      <w:r>
        <w:rPr>
          <w:rFonts w:hint="eastAsia" w:ascii="仿宋" w:hAnsi="仿宋" w:eastAsia="仿宋" w:cs="仿宋"/>
          <w:color w:val="000000"/>
          <w:sz w:val="24"/>
        </w:rPr>
        <w:t xml:space="preserve">1. </w:t>
      </w:r>
      <w:r>
        <w:rPr>
          <w:rFonts w:hint="eastAsia" w:ascii="仿宋" w:hAnsi="仿宋" w:eastAsia="仿宋" w:cs="仿宋"/>
          <w:color w:val="000000"/>
          <w:sz w:val="24"/>
          <w:lang w:val="en-US" w:eastAsia="zh-CN"/>
        </w:rPr>
        <w:t xml:space="preserve">乙方派驻的施工经理（姓名：      电话：        ）及安全员（姓名：       </w:t>
      </w:r>
    </w:p>
    <w:p w14:paraId="7426ECB7">
      <w:pPr>
        <w:widowControl/>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lang w:val="en-US" w:eastAsia="zh-CN"/>
        </w:rPr>
        <w:t xml:space="preserve"> 电话：            ），</w:t>
      </w:r>
      <w:r>
        <w:rPr>
          <w:rFonts w:hint="eastAsia" w:ascii="仿宋" w:hAnsi="仿宋" w:eastAsia="仿宋" w:cs="仿宋"/>
          <w:color w:val="000000"/>
          <w:sz w:val="24"/>
        </w:rPr>
        <w:t>施工期间</w:t>
      </w:r>
      <w:r>
        <w:rPr>
          <w:rFonts w:hint="eastAsia" w:ascii="仿宋" w:hAnsi="仿宋" w:eastAsia="仿宋" w:cs="仿宋"/>
          <w:color w:val="000000"/>
          <w:sz w:val="24"/>
          <w:lang w:val="en-US" w:eastAsia="zh-CN"/>
        </w:rPr>
        <w:t>乙方严格按照规定安全文明施工，一切</w:t>
      </w:r>
      <w:r>
        <w:rPr>
          <w:rFonts w:hint="eastAsia" w:ascii="仿宋" w:hAnsi="仿宋" w:eastAsia="仿宋" w:cs="仿宋"/>
          <w:color w:val="000000"/>
          <w:sz w:val="24"/>
        </w:rPr>
        <w:t>的</w:t>
      </w:r>
      <w:r>
        <w:rPr>
          <w:rFonts w:hint="eastAsia" w:ascii="仿宋" w:hAnsi="仿宋" w:eastAsia="仿宋" w:cs="仿宋"/>
          <w:color w:val="000000"/>
          <w:sz w:val="24"/>
          <w:lang w:val="en-US" w:eastAsia="zh-CN"/>
        </w:rPr>
        <w:t>安全</w:t>
      </w:r>
      <w:r>
        <w:rPr>
          <w:rFonts w:hint="eastAsia" w:ascii="仿宋" w:hAnsi="仿宋" w:eastAsia="仿宋" w:cs="仿宋"/>
          <w:color w:val="000000"/>
          <w:sz w:val="24"/>
        </w:rPr>
        <w:t>问题</w:t>
      </w:r>
      <w:r>
        <w:rPr>
          <w:rFonts w:hint="eastAsia" w:ascii="仿宋" w:hAnsi="仿宋" w:eastAsia="仿宋" w:cs="仿宋"/>
          <w:color w:val="000000"/>
          <w:sz w:val="24"/>
          <w:lang w:eastAsia="zh-CN"/>
        </w:rPr>
        <w:t>（</w:t>
      </w:r>
      <w:r>
        <w:rPr>
          <w:rFonts w:hint="eastAsia" w:ascii="仿宋" w:hAnsi="仿宋" w:eastAsia="仿宋" w:cs="仿宋"/>
          <w:color w:val="000000"/>
          <w:sz w:val="24"/>
        </w:rPr>
        <w:t>由此而发生的各种费用</w:t>
      </w:r>
      <w:r>
        <w:rPr>
          <w:rFonts w:hint="eastAsia" w:ascii="仿宋" w:hAnsi="仿宋" w:eastAsia="仿宋" w:cs="仿宋"/>
          <w:color w:val="000000"/>
          <w:sz w:val="24"/>
          <w:lang w:eastAsia="zh-CN"/>
        </w:rPr>
        <w:t>）</w:t>
      </w:r>
      <w:r>
        <w:rPr>
          <w:rFonts w:hint="eastAsia" w:ascii="仿宋" w:hAnsi="仿宋" w:eastAsia="仿宋" w:cs="仿宋"/>
          <w:color w:val="000000"/>
          <w:sz w:val="24"/>
        </w:rPr>
        <w:t>由</w:t>
      </w:r>
      <w:r>
        <w:rPr>
          <w:rFonts w:hint="eastAsia" w:ascii="仿宋" w:hAnsi="仿宋" w:eastAsia="仿宋" w:cs="仿宋"/>
          <w:color w:val="000000"/>
          <w:sz w:val="24"/>
          <w:lang w:val="en-US" w:eastAsia="zh-CN"/>
        </w:rPr>
        <w:t>乙方</w:t>
      </w:r>
      <w:r>
        <w:rPr>
          <w:rFonts w:hint="eastAsia" w:ascii="仿宋" w:hAnsi="仿宋" w:eastAsia="仿宋" w:cs="仿宋"/>
          <w:color w:val="000000"/>
          <w:sz w:val="24"/>
        </w:rPr>
        <w:t>负责承担；</w:t>
      </w:r>
    </w:p>
    <w:p w14:paraId="2D243AD0">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2. 乙方须提供主材的合格证、</w:t>
      </w:r>
      <w:r>
        <w:rPr>
          <w:rFonts w:hint="eastAsia" w:ascii="仿宋" w:hAnsi="仿宋" w:eastAsia="仿宋" w:cs="仿宋"/>
          <w:color w:val="000000"/>
          <w:sz w:val="24"/>
          <w:lang w:val="en-US" w:eastAsia="zh-CN"/>
        </w:rPr>
        <w:t>质检报告，</w:t>
      </w:r>
      <w:r>
        <w:rPr>
          <w:rFonts w:hint="eastAsia" w:ascii="仿宋" w:hAnsi="仿宋" w:eastAsia="仿宋" w:cs="仿宋"/>
          <w:color w:val="000000"/>
          <w:sz w:val="24"/>
        </w:rPr>
        <w:t>材料进场时，应经甲方代表</w:t>
      </w:r>
      <w:r>
        <w:rPr>
          <w:rFonts w:hint="eastAsia" w:ascii="仿宋" w:hAnsi="仿宋" w:eastAsia="仿宋" w:cs="仿宋"/>
          <w:color w:val="000000"/>
          <w:sz w:val="24"/>
          <w:lang w:eastAsia="zh-CN"/>
        </w:rPr>
        <w:t>及监理单位</w:t>
      </w:r>
      <w:r>
        <w:rPr>
          <w:rFonts w:hint="eastAsia" w:ascii="仿宋" w:hAnsi="仿宋" w:eastAsia="仿宋" w:cs="仿宋"/>
          <w:color w:val="000000"/>
          <w:sz w:val="24"/>
        </w:rPr>
        <w:t>验收确认合格后方可</w:t>
      </w:r>
      <w:r>
        <w:rPr>
          <w:rFonts w:hint="eastAsia" w:ascii="仿宋" w:hAnsi="仿宋" w:eastAsia="仿宋" w:cs="仿宋"/>
          <w:color w:val="000000"/>
          <w:sz w:val="24"/>
          <w:lang w:val="en-US" w:eastAsia="zh-CN"/>
        </w:rPr>
        <w:t>用于</w:t>
      </w:r>
      <w:r>
        <w:rPr>
          <w:rFonts w:hint="eastAsia" w:ascii="仿宋" w:hAnsi="仿宋" w:eastAsia="仿宋" w:cs="仿宋"/>
          <w:color w:val="000000"/>
          <w:sz w:val="24"/>
        </w:rPr>
        <w:t>施工。如材料质量、规格与采购文件不符，乙方无条件更换，并承担工期延误责任；</w:t>
      </w:r>
      <w:r>
        <w:rPr>
          <w:rFonts w:hint="eastAsia" w:ascii="仿宋" w:hAnsi="仿宋" w:eastAsia="仿宋" w:cs="仿宋"/>
          <w:color w:val="000000"/>
          <w:sz w:val="24"/>
          <w:lang w:eastAsia="zh-CN"/>
        </w:rPr>
        <w:t>乙方</w:t>
      </w:r>
      <w:r>
        <w:rPr>
          <w:rFonts w:hint="eastAsia" w:ascii="仿宋" w:hAnsi="仿宋" w:eastAsia="仿宋" w:cs="仿宋"/>
          <w:color w:val="000000"/>
          <w:sz w:val="24"/>
        </w:rPr>
        <w:t>提供设计优化图4套，竣工图2套。</w:t>
      </w:r>
    </w:p>
    <w:p w14:paraId="36A380AD">
      <w:pPr>
        <w:pStyle w:val="2"/>
        <w:spacing w:line="360" w:lineRule="auto"/>
        <w:ind w:firstLine="480" w:firstLineChars="200"/>
        <w:jc w:val="both"/>
        <w:rPr>
          <w:rFonts w:hint="eastAsia" w:ascii="仿宋" w:hAnsi="仿宋" w:eastAsia="仿宋" w:cs="仿宋"/>
          <w:color w:val="000000"/>
          <w:sz w:val="24"/>
          <w:lang w:val="en-US" w:eastAsia="zh-CN"/>
        </w:rPr>
      </w:pPr>
      <w:r>
        <w:rPr>
          <w:rFonts w:hint="eastAsia" w:ascii="仿宋" w:hAnsi="仿宋" w:eastAsia="仿宋" w:cs="仿宋"/>
          <w:color w:val="000000"/>
          <w:sz w:val="24"/>
        </w:rPr>
        <w:t>3．施工过程中产生的建筑垃圾应</w:t>
      </w:r>
      <w:r>
        <w:rPr>
          <w:rFonts w:hint="eastAsia" w:ascii="仿宋" w:hAnsi="仿宋" w:eastAsia="仿宋" w:cs="仿宋"/>
          <w:color w:val="000000"/>
          <w:sz w:val="24"/>
          <w:lang w:val="en-US" w:eastAsia="zh-CN"/>
        </w:rPr>
        <w:t>由乙方</w:t>
      </w:r>
      <w:r>
        <w:rPr>
          <w:rFonts w:hint="eastAsia" w:ascii="仿宋" w:hAnsi="仿宋" w:eastAsia="仿宋" w:cs="仿宋"/>
          <w:color w:val="000000"/>
          <w:sz w:val="24"/>
        </w:rPr>
        <w:t>及时清理</w:t>
      </w:r>
      <w:r>
        <w:rPr>
          <w:rFonts w:hint="eastAsia" w:ascii="仿宋" w:hAnsi="仿宋" w:eastAsia="仿宋" w:cs="仿宋"/>
          <w:color w:val="000000"/>
          <w:sz w:val="24"/>
          <w:lang w:eastAsia="zh-CN"/>
        </w:rPr>
        <w:t>，</w:t>
      </w:r>
      <w:r>
        <w:rPr>
          <w:rFonts w:hint="eastAsia" w:ascii="仿宋" w:hAnsi="仿宋" w:eastAsia="仿宋" w:cs="仿宋"/>
          <w:color w:val="000000"/>
          <w:sz w:val="24"/>
          <w:lang w:val="en-US" w:eastAsia="zh-CN"/>
        </w:rPr>
        <w:t>工完场清。乙方拒不清理的，甲方可委托第三方进行清理，由此产生的全部费用由乙方承担，甲方有权在向乙方支付款项时直接扣除该部分费用。</w:t>
      </w:r>
    </w:p>
    <w:p w14:paraId="566D8CC8">
      <w:pPr>
        <w:spacing w:line="360" w:lineRule="auto"/>
        <w:ind w:left="799" w:leftChars="266" w:hanging="240" w:hangingChars="100"/>
        <w:rPr>
          <w:rFonts w:hint="eastAsia" w:ascii="仿宋" w:hAnsi="仿宋" w:eastAsia="仿宋" w:cs="仿宋"/>
          <w:color w:val="000000"/>
          <w:sz w:val="24"/>
        </w:rPr>
      </w:pPr>
      <w:r>
        <w:rPr>
          <w:rFonts w:hint="eastAsia" w:ascii="仿宋" w:hAnsi="仿宋" w:eastAsia="仿宋" w:cs="仿宋"/>
          <w:color w:val="000000"/>
          <w:sz w:val="24"/>
        </w:rPr>
        <w:t>4. 安全条款：</w:t>
      </w:r>
    </w:p>
    <w:p w14:paraId="1A6F69B3">
      <w:pPr>
        <w:spacing w:line="360" w:lineRule="auto"/>
        <w:ind w:left="921" w:leftChars="267" w:hanging="360" w:hangingChars="150"/>
        <w:rPr>
          <w:rFonts w:hint="eastAsia" w:ascii="仿宋" w:hAnsi="仿宋" w:eastAsia="仿宋" w:cs="仿宋"/>
          <w:color w:val="000000"/>
          <w:sz w:val="24"/>
        </w:rPr>
      </w:pPr>
      <w:r>
        <w:rPr>
          <w:rFonts w:hint="eastAsia" w:ascii="仿宋" w:hAnsi="仿宋" w:eastAsia="仿宋" w:cs="仿宋"/>
          <w:color w:val="000000"/>
          <w:sz w:val="24"/>
        </w:rPr>
        <w:t>（1）乙方须指定施工现场安全员（安全员须持C证）和监督员，并在甲方备案；</w:t>
      </w:r>
    </w:p>
    <w:p w14:paraId="2C5CD327">
      <w:pPr>
        <w:spacing w:line="360" w:lineRule="auto"/>
        <w:ind w:left="921" w:leftChars="267" w:hanging="360" w:hangingChars="150"/>
        <w:rPr>
          <w:rFonts w:hint="eastAsia" w:ascii="仿宋" w:hAnsi="仿宋" w:eastAsia="仿宋" w:cs="仿宋"/>
          <w:color w:val="000000"/>
          <w:sz w:val="24"/>
        </w:rPr>
      </w:pPr>
      <w:r>
        <w:rPr>
          <w:rFonts w:hint="eastAsia" w:ascii="仿宋" w:hAnsi="仿宋" w:eastAsia="仿宋" w:cs="仿宋"/>
          <w:color w:val="000000"/>
          <w:sz w:val="24"/>
        </w:rPr>
        <w:t>（2）施工前，乙方安全员须对施工人员进行安全教育；</w:t>
      </w:r>
    </w:p>
    <w:p w14:paraId="33D4CA37">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（3）乙方施工人员进工地必须统一管理，必须佩带施工证，如有特种作业人员必须携带特种作业操作证持证上岗，便于甲方监管；</w:t>
      </w:r>
    </w:p>
    <w:p w14:paraId="71594F8A">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 xml:space="preserve">（4）乙方应在施工区域设置明显标志，并对集中性施工项目做封闭管理，严禁施工人员以外的人进入施工场地。施工人员应在施工区域内活动，不得随意进入非施工区域； </w:t>
      </w:r>
    </w:p>
    <w:p w14:paraId="048791A5">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（5）开工前，乙方应编制安全措施计划及安全专项方案，乙方在施工中使用的安全防护器材及劳动防护用品、用具的产品质量、配备数量等均应符合安全、职业和卫生要求，否则不得开工作业；</w:t>
      </w:r>
    </w:p>
    <w:p w14:paraId="30F543E7">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（6）施工过程中，甲方</w:t>
      </w:r>
      <w:r>
        <w:rPr>
          <w:rFonts w:hint="eastAsia" w:ascii="仿宋" w:hAnsi="仿宋" w:eastAsia="仿宋" w:cs="仿宋"/>
          <w:color w:val="000000"/>
          <w:sz w:val="24"/>
          <w:lang w:eastAsia="zh-CN"/>
        </w:rPr>
        <w:t>及监理单位</w:t>
      </w:r>
      <w:r>
        <w:rPr>
          <w:rFonts w:hint="eastAsia" w:ascii="仿宋" w:hAnsi="仿宋" w:eastAsia="仿宋" w:cs="仿宋"/>
          <w:color w:val="000000"/>
          <w:sz w:val="24"/>
        </w:rPr>
        <w:t xml:space="preserve">有权随时进行检查，有权制止违章作业，有权对违反安全规定的行为进行处罚或责令施工队伍停工整顿；  </w:t>
      </w:r>
    </w:p>
    <w:p w14:paraId="1ECD60C9">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（7）乙方应采取严格的安全防护措施。施工过程中，如对施工人员或第三人造成人身伤害及财产损失，责任和由此而发生的费用，均由乙方承担；</w:t>
      </w:r>
    </w:p>
    <w:p w14:paraId="27EF15A9">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（8）乙方必须对施工现场及其周边的各类设施、设备进行保护，损坏物品照价赔偿。</w:t>
      </w:r>
    </w:p>
    <w:p w14:paraId="46414032">
      <w:pPr>
        <w:spacing w:line="360" w:lineRule="auto"/>
        <w:ind w:left="799" w:leftChars="266" w:hanging="240" w:hangingChars="100"/>
        <w:rPr>
          <w:rFonts w:hint="eastAsia" w:ascii="仿宋" w:hAnsi="仿宋" w:eastAsia="仿宋" w:cs="仿宋"/>
          <w:color w:val="000000"/>
          <w:sz w:val="24"/>
        </w:rPr>
      </w:pPr>
      <w:r>
        <w:rPr>
          <w:rFonts w:hint="eastAsia" w:ascii="仿宋" w:hAnsi="仿宋" w:eastAsia="仿宋" w:cs="仿宋"/>
          <w:color w:val="000000"/>
          <w:sz w:val="24"/>
        </w:rPr>
        <w:t>5．文明施工条款：</w:t>
      </w:r>
    </w:p>
    <w:p w14:paraId="044B847F">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乙方必须根据省、市及所在地相关部门颁发的文明施工规定和国家有关</w:t>
      </w:r>
      <w:r>
        <w:rPr>
          <w:rFonts w:hint="eastAsia" w:ascii="仿宋" w:hAnsi="仿宋" w:eastAsia="仿宋" w:cs="仿宋"/>
          <w:color w:val="000000"/>
          <w:sz w:val="24"/>
          <w:lang w:val="en-US" w:eastAsia="zh-CN"/>
        </w:rPr>
        <w:t>环保、</w:t>
      </w:r>
      <w:r>
        <w:rPr>
          <w:rFonts w:hint="eastAsia" w:ascii="仿宋" w:hAnsi="仿宋" w:eastAsia="仿宋" w:cs="仿宋"/>
          <w:color w:val="000000"/>
          <w:sz w:val="24"/>
        </w:rPr>
        <w:t>安全</w:t>
      </w:r>
      <w:r>
        <w:rPr>
          <w:rFonts w:hint="eastAsia" w:ascii="仿宋" w:hAnsi="仿宋" w:eastAsia="仿宋" w:cs="仿宋"/>
          <w:color w:val="000000"/>
          <w:sz w:val="24"/>
          <w:lang w:eastAsia="zh-CN"/>
        </w:rPr>
        <w:t>、</w:t>
      </w:r>
      <w:r>
        <w:rPr>
          <w:rFonts w:hint="eastAsia" w:ascii="仿宋" w:hAnsi="仿宋" w:eastAsia="仿宋" w:cs="仿宋"/>
          <w:color w:val="000000"/>
          <w:sz w:val="24"/>
          <w:lang w:val="en-US" w:eastAsia="zh-CN"/>
        </w:rPr>
        <w:t>文明</w:t>
      </w:r>
      <w:r>
        <w:rPr>
          <w:rFonts w:hint="eastAsia" w:ascii="仿宋" w:hAnsi="仿宋" w:eastAsia="仿宋" w:cs="仿宋"/>
          <w:color w:val="000000"/>
          <w:sz w:val="24"/>
        </w:rPr>
        <w:t>施工的各种规范要求，精心组织施工，贯彻“谁施工，谁负责”的原则。由于乙方违反操作规程施工所造成的一切损失均由乙方承担，合同协议所确定的合同价款中已包含了有关的全部费用。</w:t>
      </w:r>
    </w:p>
    <w:p w14:paraId="62CACDD0">
      <w:pPr>
        <w:spacing w:line="360" w:lineRule="auto"/>
        <w:ind w:firstLine="480" w:firstLineChars="200"/>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6.违约责任：</w:t>
      </w:r>
    </w:p>
    <w:p w14:paraId="38772185">
      <w:pPr>
        <w:spacing w:line="360" w:lineRule="auto"/>
        <w:ind w:firstLine="480" w:firstLineChars="200"/>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因乙方工程内在质量问题，引发甲方安全或质量事故，造成甲方或及第三人人身损失、财产损失的，乙方应赔偿甲方或第三人为此支付的所有费用（包括但不限于赔偿的费用、必要的律师费、罚款等），此责任不因甲方已进行验收而免除。甲方因此遭索赔的，有权向乙方追偿。</w:t>
      </w:r>
    </w:p>
    <w:p w14:paraId="09CEB51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000000"/>
          <w:sz w:val="24"/>
          <w:lang w:val="en-US" w:eastAsia="zh-CN"/>
        </w:rPr>
        <w:t>（2）</w:t>
      </w:r>
      <w:r>
        <w:rPr>
          <w:rFonts w:hint="eastAsia" w:ascii="仿宋" w:hAnsi="仿宋" w:eastAsia="仿宋" w:cs="仿宋"/>
          <w:color w:val="auto"/>
          <w:sz w:val="24"/>
          <w:highlight w:val="none"/>
        </w:rPr>
        <w:t>若乙方未全面履行合同义务或者提供的服务质量不能满足本合同或甲方竞争性磋商文件及乙方响应文件约定的或乙方发生违约，乙方必须无条件按甲方要求的时限进行整改，否则甲</w:t>
      </w:r>
      <w:bookmarkStart w:id="26" w:name="_GoBack"/>
      <w:bookmarkEnd w:id="26"/>
      <w:r>
        <w:rPr>
          <w:rFonts w:hint="eastAsia" w:ascii="仿宋" w:hAnsi="仿宋" w:eastAsia="仿宋" w:cs="仿宋"/>
          <w:color w:val="auto"/>
          <w:sz w:val="24"/>
          <w:highlight w:val="none"/>
        </w:rPr>
        <w:t>方有权单方解除合同，解除合同书面通知书送达乙方之日视为合同已解除，并按以下两种方式追究乙方的违约责任：</w:t>
      </w:r>
      <w:r>
        <w:rPr>
          <w:rFonts w:hint="default" w:ascii="Calibri" w:hAnsi="Calibri" w:eastAsia="仿宋" w:cs="Calibri"/>
          <w:color w:val="auto"/>
          <w:sz w:val="24"/>
          <w:highlight w:val="none"/>
        </w:rPr>
        <w:t>①</w:t>
      </w:r>
      <w:r>
        <w:rPr>
          <w:rFonts w:hint="eastAsia" w:ascii="仿宋" w:hAnsi="仿宋" w:eastAsia="仿宋" w:cs="仿宋"/>
          <w:color w:val="auto"/>
          <w:sz w:val="24"/>
          <w:highlight w:val="none"/>
        </w:rPr>
        <w:t>乙方赔偿甲方解除合同的全部损失（包括但不限于重新采购产生的费用以及其它由此造成的甲方对第三方的违约损失等）；②乙方支付甲方违约金，违约金计算方法：以合同总价为基数，支付甲方合同总价的30%为违约金。同时，对乙方的违约行为报监管机构进行相应的处罚。</w:t>
      </w:r>
    </w:p>
    <w:p w14:paraId="33B81F5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若乙方未按照</w:t>
      </w:r>
      <w:r>
        <w:rPr>
          <w:rFonts w:hint="eastAsia" w:ascii="仿宋" w:hAnsi="仿宋" w:eastAsia="仿宋" w:cs="仿宋"/>
          <w:color w:val="auto"/>
          <w:sz w:val="24"/>
          <w:highlight w:val="none"/>
          <w:lang w:val="en-US" w:eastAsia="zh-CN"/>
        </w:rPr>
        <w:t>本合同约定的工期完成全部施工内容并获得甲方验收通过</w:t>
      </w:r>
      <w:r>
        <w:rPr>
          <w:rFonts w:hint="eastAsia" w:ascii="仿宋" w:hAnsi="仿宋" w:eastAsia="仿宋" w:cs="仿宋"/>
          <w:color w:val="auto"/>
          <w:sz w:val="24"/>
          <w:highlight w:val="none"/>
        </w:rPr>
        <w:t>的，每超过一天，扣除乙方合同总价款的 10 ‰，累计超过 5日，视为乙方根本违约，甲方有权单方解除合同，解除合同书面通知书到达乙方之日视为合同已解除，并要求乙方按本</w:t>
      </w:r>
      <w:r>
        <w:rPr>
          <w:rFonts w:hint="eastAsia" w:ascii="仿宋" w:hAnsi="仿宋" w:eastAsia="仿宋" w:cs="仿宋"/>
          <w:color w:val="auto"/>
          <w:sz w:val="24"/>
          <w:highlight w:val="none"/>
          <w:lang w:val="en-US" w:eastAsia="zh-CN"/>
        </w:rPr>
        <w:t>违约责任</w:t>
      </w:r>
      <w:r>
        <w:rPr>
          <w:rFonts w:hint="eastAsia" w:ascii="仿宋" w:hAnsi="仿宋" w:eastAsia="仿宋" w:cs="仿宋"/>
          <w:color w:val="auto"/>
          <w:sz w:val="24"/>
          <w:highlight w:val="none"/>
        </w:rPr>
        <w:t>条</w:t>
      </w:r>
      <w:r>
        <w:rPr>
          <w:rFonts w:hint="eastAsia" w:ascii="仿宋" w:hAnsi="仿宋" w:eastAsia="仿宋" w:cs="仿宋"/>
          <w:color w:val="auto"/>
          <w:sz w:val="24"/>
          <w:highlight w:val="none"/>
          <w:lang w:val="en-US" w:eastAsia="zh-CN"/>
        </w:rPr>
        <w:t>款</w:t>
      </w:r>
      <w:r>
        <w:rPr>
          <w:rFonts w:hint="eastAsia" w:ascii="仿宋" w:hAnsi="仿宋" w:eastAsia="仿宋" w:cs="仿宋"/>
          <w:color w:val="auto"/>
          <w:sz w:val="24"/>
          <w:highlight w:val="none"/>
        </w:rPr>
        <w:t>第</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项</w:t>
      </w:r>
      <w:r>
        <w:rPr>
          <w:rFonts w:hint="eastAsia" w:ascii="仿宋" w:hAnsi="仿宋" w:eastAsia="仿宋" w:cs="仿宋"/>
          <w:color w:val="auto"/>
          <w:sz w:val="24"/>
          <w:highlight w:val="none"/>
        </w:rPr>
        <w:t xml:space="preserve">之约定承担根本违约责任。 </w:t>
      </w:r>
    </w:p>
    <w:p w14:paraId="0F18038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由于乙方技术或其他原因造成甲方设备配件损坏，乙方负责免费修复或更换配件，无法修复的，乙方应赔偿由此给甲方造成的全部损失。乙方服务期间维修、维保所用的器材及材料不符合相关质量标准的，乙方必须在 2 日内无条件免费更换，规定期限内拒绝更换或更换 2 次后仍不符合质量要求的，甲方有权单方解除本合同并有权要求乙方按照本</w:t>
      </w:r>
      <w:r>
        <w:rPr>
          <w:rFonts w:hint="eastAsia" w:ascii="仿宋" w:hAnsi="仿宋" w:eastAsia="仿宋" w:cs="仿宋"/>
          <w:color w:val="auto"/>
          <w:sz w:val="24"/>
          <w:highlight w:val="none"/>
          <w:lang w:val="en-US" w:eastAsia="zh-CN"/>
        </w:rPr>
        <w:t>违约责任条款</w:t>
      </w:r>
      <w:r>
        <w:rPr>
          <w:rFonts w:hint="eastAsia" w:ascii="仿宋" w:hAnsi="仿宋" w:eastAsia="仿宋" w:cs="仿宋"/>
          <w:color w:val="auto"/>
          <w:sz w:val="24"/>
          <w:highlight w:val="none"/>
        </w:rPr>
        <w:t>第</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项</w:t>
      </w:r>
      <w:r>
        <w:rPr>
          <w:rFonts w:hint="eastAsia" w:ascii="仿宋" w:hAnsi="仿宋" w:eastAsia="仿宋" w:cs="仿宋"/>
          <w:color w:val="auto"/>
          <w:sz w:val="24"/>
          <w:highlight w:val="none"/>
        </w:rPr>
        <w:t xml:space="preserve">的规定承担根本违约责任。 </w:t>
      </w:r>
    </w:p>
    <w:p w14:paraId="7EE0169D">
      <w:pPr>
        <w:spacing w:line="360" w:lineRule="auto"/>
        <w:ind w:firstLine="480" w:firstLineChars="200"/>
        <w:rPr>
          <w:rFonts w:hint="eastAsia" w:ascii="仿宋" w:hAnsi="仿宋" w:eastAsia="仿宋" w:cs="仿宋"/>
          <w:color w:val="000000"/>
          <w:sz w:val="24"/>
          <w:lang w:val="en-US" w:eastAsia="zh-CN"/>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5</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在合同期限内，乙方不得擅自转包、分包本合同项下的合同义务，否则甲方有权单方解除本合同并有权要求乙方按照本</w:t>
      </w:r>
      <w:r>
        <w:rPr>
          <w:rFonts w:hint="eastAsia" w:ascii="仿宋" w:hAnsi="仿宋" w:eastAsia="仿宋" w:cs="仿宋"/>
          <w:color w:val="auto"/>
          <w:sz w:val="24"/>
          <w:highlight w:val="none"/>
          <w:lang w:val="en-US" w:eastAsia="zh-CN"/>
        </w:rPr>
        <w:t>违约责任条款</w:t>
      </w:r>
      <w:r>
        <w:rPr>
          <w:rFonts w:hint="eastAsia" w:ascii="仿宋" w:hAnsi="仿宋" w:eastAsia="仿宋" w:cs="仿宋"/>
          <w:color w:val="auto"/>
          <w:sz w:val="24"/>
          <w:highlight w:val="none"/>
        </w:rPr>
        <w:t>第</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项</w:t>
      </w:r>
      <w:r>
        <w:rPr>
          <w:rFonts w:hint="eastAsia" w:ascii="仿宋" w:hAnsi="仿宋" w:eastAsia="仿宋" w:cs="仿宋"/>
          <w:color w:val="auto"/>
          <w:sz w:val="24"/>
          <w:highlight w:val="none"/>
        </w:rPr>
        <w:t>的规定承担根本违约责任。</w:t>
      </w:r>
    </w:p>
    <w:p w14:paraId="7144B5C8">
      <w:pPr>
        <w:pStyle w:val="3"/>
        <w:rPr>
          <w:rFonts w:hint="eastAsia" w:ascii="仿宋" w:hAnsi="仿宋" w:eastAsia="仿宋" w:cs="仿宋"/>
        </w:rPr>
      </w:pPr>
      <w:bookmarkStart w:id="8" w:name="_Toc146208012"/>
      <w:r>
        <w:rPr>
          <w:rFonts w:hint="eastAsia" w:ascii="仿宋" w:hAnsi="仿宋" w:eastAsia="仿宋" w:cs="仿宋"/>
        </w:rPr>
        <w:t>六、工程竣工验收与结算</w:t>
      </w:r>
      <w:bookmarkEnd w:id="8"/>
    </w:p>
    <w:p w14:paraId="437E176C">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1.竣工验收</w:t>
      </w:r>
    </w:p>
    <w:p w14:paraId="2983395F">
      <w:pPr>
        <w:spacing w:line="360" w:lineRule="auto"/>
        <w:rPr>
          <w:rFonts w:hint="eastAsia" w:ascii="仿宋" w:hAnsi="仿宋" w:eastAsia="仿宋" w:cs="仿宋"/>
          <w:color w:val="000000"/>
          <w:sz w:val="24"/>
        </w:rPr>
      </w:pPr>
      <w:r>
        <w:rPr>
          <w:rFonts w:hint="eastAsia" w:ascii="仿宋" w:hAnsi="仿宋" w:eastAsia="仿宋" w:cs="仿宋"/>
          <w:color w:val="000000"/>
          <w:sz w:val="24"/>
        </w:rPr>
        <w:t xml:space="preserve">    工程完工后，甲方</w:t>
      </w:r>
      <w:r>
        <w:rPr>
          <w:rFonts w:hint="eastAsia" w:ascii="仿宋" w:hAnsi="仿宋" w:eastAsia="仿宋" w:cs="仿宋"/>
          <w:color w:val="000000"/>
          <w:sz w:val="24"/>
          <w:lang w:eastAsia="zh-CN"/>
        </w:rPr>
        <w:t>及监理单位</w:t>
      </w:r>
      <w:r>
        <w:rPr>
          <w:rFonts w:hint="eastAsia" w:ascii="仿宋" w:hAnsi="仿宋" w:eastAsia="仿宋" w:cs="仿宋"/>
          <w:color w:val="000000"/>
          <w:sz w:val="24"/>
        </w:rPr>
        <w:t>在乙方提交竣工验收申请后进行初验，乙方对初验提出的问题进行整改。整改完毕后，经现场负责人核实无误后，乙方提交《维修改造工程竣工验收报告》、《维修项目施工工序验收记录表》、《维修项目主要材料验收记录表》等，资料齐全后，</w:t>
      </w:r>
      <w:r>
        <w:rPr>
          <w:rFonts w:hint="eastAsia" w:ascii="仿宋" w:hAnsi="仿宋" w:eastAsia="仿宋" w:cs="仿宋"/>
          <w:color w:val="000000"/>
          <w:sz w:val="24"/>
          <w:lang w:eastAsia="zh-CN"/>
        </w:rPr>
        <w:t>经监理单位审核，</w:t>
      </w:r>
      <w:r>
        <w:rPr>
          <w:rFonts w:hint="eastAsia" w:ascii="仿宋" w:hAnsi="仿宋" w:eastAsia="仿宋" w:cs="仿宋"/>
          <w:color w:val="000000"/>
          <w:sz w:val="24"/>
        </w:rPr>
        <w:t>甲方组织院内相关部门进行竣工验收。</w:t>
      </w:r>
    </w:p>
    <w:p w14:paraId="5181DAD5">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2.竣工结算</w:t>
      </w:r>
    </w:p>
    <w:p w14:paraId="07CB0B66">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 xml:space="preserve">乙方应在工程施工期间至竣工验收前向甲方递交竣工验收报告单等，并于竣工验收通过后十个工作日内向甲方提交工程结算资料。 </w:t>
      </w:r>
    </w:p>
    <w:p w14:paraId="4A20517C">
      <w:pPr>
        <w:pStyle w:val="3"/>
        <w:rPr>
          <w:rFonts w:hint="eastAsia" w:ascii="仿宋" w:hAnsi="仿宋" w:eastAsia="仿宋" w:cs="仿宋"/>
        </w:rPr>
      </w:pPr>
      <w:bookmarkStart w:id="9" w:name="_Toc146208013"/>
      <w:r>
        <w:rPr>
          <w:rFonts w:hint="eastAsia" w:ascii="仿宋" w:hAnsi="仿宋" w:eastAsia="仿宋" w:cs="仿宋"/>
        </w:rPr>
        <w:t>七、保修条款</w:t>
      </w:r>
      <w:bookmarkEnd w:id="9"/>
    </w:p>
    <w:p w14:paraId="23213047">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本项目质保期为</w:t>
      </w:r>
      <w:r>
        <w:rPr>
          <w:rFonts w:hint="eastAsia" w:ascii="仿宋" w:hAnsi="仿宋" w:eastAsia="仿宋" w:cs="仿宋"/>
          <w:color w:val="000000"/>
          <w:sz w:val="24"/>
          <w:lang w:val="en-US" w:eastAsia="zh-CN"/>
        </w:rPr>
        <w:t>二</w:t>
      </w:r>
      <w:r>
        <w:rPr>
          <w:rFonts w:hint="eastAsia" w:ascii="仿宋" w:hAnsi="仿宋" w:eastAsia="仿宋" w:cs="仿宋"/>
          <w:color w:val="000000"/>
          <w:sz w:val="24"/>
        </w:rPr>
        <w:t>年，</w:t>
      </w:r>
      <w:r>
        <w:rPr>
          <w:rFonts w:hint="eastAsia" w:ascii="仿宋" w:hAnsi="仿宋" w:eastAsia="仿宋" w:cs="仿宋"/>
          <w:color w:val="000000"/>
          <w:sz w:val="24"/>
          <w:lang w:val="en-US" w:eastAsia="zh-CN"/>
        </w:rPr>
        <w:t>防水工程五年，</w:t>
      </w:r>
      <w:r>
        <w:rPr>
          <w:rFonts w:hint="eastAsia" w:ascii="仿宋" w:hAnsi="仿宋" w:eastAsia="仿宋" w:cs="仿宋"/>
          <w:color w:val="000000"/>
          <w:sz w:val="24"/>
        </w:rPr>
        <w:t>保修期自验收合格</w:t>
      </w:r>
      <w:r>
        <w:rPr>
          <w:rFonts w:hint="eastAsia" w:ascii="仿宋" w:hAnsi="仿宋" w:eastAsia="仿宋" w:cs="仿宋"/>
          <w:color w:val="000000"/>
          <w:sz w:val="24"/>
          <w:lang w:eastAsia="zh-CN"/>
        </w:rPr>
        <w:t>并开具质量保证书</w:t>
      </w:r>
      <w:r>
        <w:rPr>
          <w:rFonts w:hint="eastAsia" w:ascii="仿宋" w:hAnsi="仿宋" w:eastAsia="仿宋" w:cs="仿宋"/>
          <w:color w:val="000000"/>
          <w:sz w:val="24"/>
        </w:rPr>
        <w:t>之日起计算。在质保期内若发生质量问题，乙方应在接到通知时起，24小时内到达现场服务</w:t>
      </w:r>
      <w:r>
        <w:rPr>
          <w:rFonts w:hint="eastAsia" w:ascii="仿宋" w:hAnsi="仿宋" w:eastAsia="仿宋" w:cs="仿宋"/>
          <w:color w:val="000000"/>
          <w:sz w:val="24"/>
          <w:lang w:eastAsia="zh-CN"/>
        </w:rPr>
        <w:t>，【</w:t>
      </w:r>
      <w:r>
        <w:rPr>
          <w:rFonts w:hint="eastAsia" w:ascii="仿宋" w:hAnsi="仿宋" w:eastAsia="仿宋" w:cs="仿宋"/>
          <w:color w:val="000000"/>
          <w:sz w:val="24"/>
          <w:lang w:val="en-US" w:eastAsia="zh-CN"/>
        </w:rPr>
        <w:t>48</w:t>
      </w:r>
      <w:r>
        <w:rPr>
          <w:rFonts w:hint="eastAsia" w:ascii="仿宋" w:hAnsi="仿宋" w:eastAsia="仿宋" w:cs="仿宋"/>
          <w:color w:val="000000"/>
          <w:sz w:val="24"/>
          <w:lang w:eastAsia="zh-CN"/>
        </w:rPr>
        <w:t>】</w:t>
      </w:r>
      <w:r>
        <w:rPr>
          <w:rFonts w:hint="eastAsia" w:ascii="仿宋" w:hAnsi="仿宋" w:eastAsia="仿宋" w:cs="仿宋"/>
          <w:color w:val="000000"/>
          <w:sz w:val="24"/>
          <w:lang w:val="en-US" w:eastAsia="zh-CN"/>
        </w:rPr>
        <w:t>小时内解决问题</w:t>
      </w:r>
      <w:r>
        <w:rPr>
          <w:rFonts w:hint="eastAsia" w:ascii="仿宋" w:hAnsi="仿宋" w:eastAsia="仿宋" w:cs="仿宋"/>
          <w:color w:val="000000"/>
          <w:sz w:val="24"/>
        </w:rPr>
        <w:t>。如乙方未能在上述时间内到场解决，甲方有权委托第三方予以解决，</w:t>
      </w:r>
      <w:r>
        <w:rPr>
          <w:rFonts w:hint="eastAsia" w:ascii="仿宋" w:hAnsi="仿宋" w:eastAsia="仿宋" w:cs="仿宋"/>
          <w:color w:val="000000"/>
          <w:sz w:val="24"/>
          <w:lang w:val="en-US" w:eastAsia="zh-CN"/>
        </w:rPr>
        <w:t>所产生的全部</w:t>
      </w:r>
      <w:r>
        <w:rPr>
          <w:rFonts w:hint="eastAsia" w:ascii="仿宋" w:hAnsi="仿宋" w:eastAsia="仿宋" w:cs="仿宋"/>
          <w:color w:val="000000"/>
          <w:sz w:val="24"/>
        </w:rPr>
        <w:t>费用由乙方承担。</w:t>
      </w:r>
    </w:p>
    <w:p w14:paraId="72A792B1">
      <w:pPr>
        <w:pStyle w:val="3"/>
        <w:rPr>
          <w:rFonts w:hint="eastAsia" w:ascii="仿宋" w:hAnsi="仿宋" w:eastAsia="仿宋" w:cs="仿宋"/>
        </w:rPr>
      </w:pPr>
      <w:bookmarkStart w:id="10" w:name="_Toc146208014"/>
      <w:r>
        <w:rPr>
          <w:rFonts w:hint="eastAsia" w:ascii="仿宋" w:hAnsi="仿宋" w:eastAsia="仿宋" w:cs="仿宋"/>
        </w:rPr>
        <w:t>八、解决纠纷的方式</w:t>
      </w:r>
      <w:bookmarkEnd w:id="10"/>
    </w:p>
    <w:p w14:paraId="268F4641">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本合同在履行期间，双方发生争议时，在不影响工程进度的前提下，双方可采取协商解决或请有关部门进行调解。不愿通过协商、调解解决或者协商、调解不成时，双方均可向工程所在地人民法院提起诉讼。</w:t>
      </w:r>
    </w:p>
    <w:p w14:paraId="1E363635">
      <w:pPr>
        <w:pStyle w:val="3"/>
        <w:rPr>
          <w:rFonts w:hint="eastAsia" w:ascii="仿宋" w:hAnsi="仿宋" w:eastAsia="仿宋" w:cs="仿宋"/>
        </w:rPr>
      </w:pPr>
      <w:bookmarkStart w:id="11" w:name="_Toc146208015"/>
      <w:r>
        <w:rPr>
          <w:rFonts w:hint="eastAsia" w:ascii="仿宋" w:hAnsi="仿宋" w:eastAsia="仿宋" w:cs="仿宋"/>
        </w:rPr>
        <w:t>九、合同生效</w:t>
      </w:r>
      <w:bookmarkEnd w:id="11"/>
    </w:p>
    <w:p w14:paraId="0EA3E00D">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本合同自甲乙双方签字、盖章之日起生效。一式陆份，甲方执肆份，乙方执贰份，具有同等法律效力。</w:t>
      </w:r>
    </w:p>
    <w:p w14:paraId="2326C8D1">
      <w:pPr>
        <w:pStyle w:val="2"/>
        <w:spacing w:before="78" w:line="219" w:lineRule="auto"/>
        <w:ind w:left="0" w:leftChars="0" w:firstLine="0" w:firstLineChars="0"/>
        <w:rPr>
          <w:rFonts w:hint="eastAsia" w:ascii="仿宋" w:hAnsi="仿宋" w:eastAsia="仿宋" w:cs="仿宋"/>
          <w:color w:val="000000"/>
          <w:sz w:val="24"/>
          <w:lang w:val="en-US" w:eastAsia="zh-CN"/>
        </w:rPr>
      </w:pPr>
      <w:r>
        <w:rPr>
          <w:rFonts w:hint="eastAsia" w:ascii="仿宋" w:hAnsi="仿宋" w:eastAsia="仿宋" w:cs="仿宋"/>
          <w:color w:val="000000"/>
          <w:sz w:val="24"/>
        </w:rPr>
        <w:t>甲方：</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乙方：</w:t>
      </w:r>
    </w:p>
    <w:p w14:paraId="04767482">
      <w:pPr>
        <w:widowControl/>
        <w:spacing w:line="240" w:lineRule="auto"/>
        <w:jc w:val="left"/>
        <w:rPr>
          <w:rFonts w:hint="eastAsia" w:ascii="仿宋" w:hAnsi="仿宋" w:eastAsia="仿宋" w:cs="仿宋"/>
          <w:color w:val="000000"/>
          <w:sz w:val="24"/>
          <w:lang w:eastAsia="zh-CN"/>
        </w:rPr>
      </w:pPr>
      <w:r>
        <w:rPr>
          <w:rFonts w:hint="eastAsia" w:ascii="仿宋" w:hAnsi="仿宋" w:eastAsia="仿宋" w:cs="仿宋"/>
          <w:color w:val="000000"/>
          <w:sz w:val="24"/>
        </w:rPr>
        <w:t xml:space="preserve">法定代表人：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法定代表人：</w:t>
      </w:r>
    </w:p>
    <w:p w14:paraId="6B177E00">
      <w:pPr>
        <w:widowControl/>
        <w:spacing w:line="240" w:lineRule="auto"/>
        <w:jc w:val="left"/>
        <w:rPr>
          <w:rFonts w:hint="eastAsia" w:ascii="仿宋" w:hAnsi="仿宋" w:eastAsia="仿宋" w:cs="仿宋"/>
          <w:color w:val="000000"/>
          <w:sz w:val="24"/>
          <w:lang w:eastAsia="zh-CN"/>
        </w:rPr>
      </w:pPr>
      <w:r>
        <w:rPr>
          <w:rFonts w:hint="eastAsia" w:ascii="仿宋" w:hAnsi="仿宋" w:eastAsia="仿宋" w:cs="仿宋"/>
          <w:color w:val="000000"/>
          <w:sz w:val="24"/>
        </w:rPr>
        <w:t xml:space="preserve">委托代理人：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委托代理人：</w:t>
      </w:r>
    </w:p>
    <w:p w14:paraId="7AC2508C">
      <w:pPr>
        <w:spacing w:line="360" w:lineRule="auto"/>
        <w:ind w:left="5040" w:hanging="5040" w:hangingChars="2100"/>
        <w:jc w:val="left"/>
        <w:rPr>
          <w:rFonts w:hint="eastAsia" w:ascii="仿宋" w:hAnsi="仿宋" w:eastAsia="仿宋" w:cs="仿宋"/>
          <w:color w:val="000000"/>
          <w:sz w:val="24"/>
          <w:lang w:val="en-US" w:eastAsia="zh-CN"/>
        </w:rPr>
      </w:pPr>
      <w:r>
        <w:rPr>
          <w:rFonts w:hint="eastAsia" w:ascii="仿宋" w:hAnsi="仿宋" w:eastAsia="仿宋" w:cs="仿宋"/>
          <w:color w:val="000000"/>
          <w:sz w:val="24"/>
        </w:rPr>
        <w:t>地址：</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 xml:space="preserve"> 地址：</w:t>
      </w:r>
    </w:p>
    <w:p w14:paraId="1911BF1F">
      <w:pPr>
        <w:spacing w:line="360" w:lineRule="auto"/>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sz w:val="24"/>
        </w:rPr>
        <w:t xml:space="preserve">电话：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 xml:space="preserve">电话： </w:t>
      </w:r>
    </w:p>
    <w:p w14:paraId="6496209B">
      <w:pPr>
        <w:spacing w:line="360" w:lineRule="auto"/>
        <w:ind w:left="0" w:firstLine="0" w:firstLineChars="0"/>
        <w:jc w:val="left"/>
        <w:rPr>
          <w:rFonts w:hint="eastAsia" w:ascii="仿宋" w:hAnsi="仿宋" w:eastAsia="仿宋" w:cs="仿宋"/>
          <w:color w:val="000000"/>
          <w:sz w:val="24"/>
        </w:rPr>
      </w:pPr>
      <w:r>
        <w:rPr>
          <w:rFonts w:hint="eastAsia" w:ascii="仿宋" w:hAnsi="仿宋" w:eastAsia="仿宋" w:cs="仿宋"/>
          <w:color w:val="000000"/>
          <w:sz w:val="24"/>
        </w:rPr>
        <w:t>开户银行：</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开户银行：</w:t>
      </w:r>
    </w:p>
    <w:p w14:paraId="67FBD8FF">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rPr>
        <w:t>银行账号：</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银行账号：</w:t>
      </w:r>
    </w:p>
    <w:p w14:paraId="6A5BA9A4">
      <w:pPr>
        <w:spacing w:line="360" w:lineRule="auto"/>
        <w:jc w:val="left"/>
        <w:rPr>
          <w:rFonts w:hint="eastAsia" w:ascii="仿宋" w:hAnsi="仿宋" w:eastAsia="仿宋" w:cs="仿宋"/>
          <w:b/>
          <w:sz w:val="32"/>
          <w:szCs w:val="32"/>
          <w:highlight w:val="none"/>
          <w:lang w:val="en-US" w:eastAsia="zh-CN"/>
        </w:rPr>
      </w:pPr>
      <w:r>
        <w:rPr>
          <w:rFonts w:hint="eastAsia" w:ascii="仿宋" w:hAnsi="仿宋" w:eastAsia="仿宋" w:cs="仿宋"/>
          <w:color w:val="000000"/>
          <w:sz w:val="24"/>
        </w:rPr>
        <w:t>年</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月</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日                               年</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月</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日</w:t>
      </w:r>
    </w:p>
    <w:p w14:paraId="73CEB3F4">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b/>
          <w:szCs w:val="21"/>
        </w:rPr>
      </w:pPr>
    </w:p>
    <w:p w14:paraId="6A1FEAB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b/>
          <w:szCs w:val="21"/>
        </w:rPr>
      </w:pPr>
    </w:p>
    <w:p w14:paraId="61F701E6">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b/>
          <w:szCs w:val="21"/>
        </w:rPr>
      </w:pPr>
    </w:p>
    <w:p w14:paraId="1D18025F">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b/>
          <w:szCs w:val="21"/>
        </w:rPr>
      </w:pPr>
    </w:p>
    <w:p w14:paraId="69EFC1A7">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b/>
          <w:szCs w:val="21"/>
        </w:rPr>
      </w:pPr>
    </w:p>
    <w:p w14:paraId="23DCDE84">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b/>
          <w:szCs w:val="21"/>
        </w:rPr>
      </w:pPr>
      <w:r>
        <w:rPr>
          <w:rFonts w:hint="eastAsia" w:ascii="仿宋" w:hAnsi="仿宋" w:eastAsia="仿宋" w:cs="仿宋"/>
          <w:b/>
          <w:szCs w:val="21"/>
        </w:rPr>
        <w:t>附件</w:t>
      </w:r>
      <w:bookmarkEnd w:id="0"/>
    </w:p>
    <w:p w14:paraId="358B22AB">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协议书附件：</w:t>
      </w:r>
    </w:p>
    <w:p w14:paraId="7F170E01">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附件1：承包人承揽工程项目一览表</w:t>
      </w:r>
    </w:p>
    <w:p w14:paraId="47F45BC0">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专用合同条款附件：</w:t>
      </w:r>
    </w:p>
    <w:p w14:paraId="2B0ED0D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附件2：发包人供应材料设备一览表</w:t>
      </w:r>
    </w:p>
    <w:p w14:paraId="23AB546E">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附件3：工程质量保修书</w:t>
      </w:r>
    </w:p>
    <w:p w14:paraId="551BCBA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附件4：承包人主要施工管理人员表</w:t>
      </w:r>
    </w:p>
    <w:p w14:paraId="2EB1F534">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sectPr>
          <w:pgSz w:w="11906" w:h="16838"/>
          <w:pgMar w:top="1418" w:right="1555" w:bottom="1418" w:left="1531" w:header="907" w:footer="907" w:gutter="0"/>
          <w:cols w:space="720" w:num="1"/>
          <w:docGrid w:type="lines" w:linePitch="312" w:charSpace="0"/>
        </w:sectPr>
      </w:pPr>
    </w:p>
    <w:p w14:paraId="2248C59A">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附件1：</w:t>
      </w:r>
    </w:p>
    <w:p w14:paraId="67E0BCB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承包人承揽工程项目一览表</w:t>
      </w:r>
    </w:p>
    <w:tbl>
      <w:tblPr>
        <w:tblStyle w:val="7"/>
        <w:tblW w:w="12799"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419"/>
        <w:gridCol w:w="3566"/>
        <w:gridCol w:w="2619"/>
        <w:gridCol w:w="2209"/>
        <w:gridCol w:w="1418"/>
        <w:gridCol w:w="1568"/>
      </w:tblGrid>
      <w:tr w14:paraId="10B0B7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419" w:type="dxa"/>
            <w:tcBorders>
              <w:top w:val="single" w:color="auto" w:sz="12" w:space="0"/>
              <w:bottom w:val="double" w:color="auto" w:sz="6" w:space="0"/>
            </w:tcBorders>
            <w:vAlign w:val="center"/>
          </w:tcPr>
          <w:p w14:paraId="11F72B1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单位工程名称</w:t>
            </w:r>
          </w:p>
        </w:tc>
        <w:tc>
          <w:tcPr>
            <w:tcW w:w="3566" w:type="dxa"/>
            <w:tcBorders>
              <w:top w:val="single" w:color="auto" w:sz="12" w:space="0"/>
              <w:bottom w:val="double" w:color="auto" w:sz="6" w:space="0"/>
            </w:tcBorders>
            <w:vAlign w:val="center"/>
          </w:tcPr>
          <w:p w14:paraId="59E6C67A">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建设规模</w:t>
            </w:r>
          </w:p>
        </w:tc>
        <w:tc>
          <w:tcPr>
            <w:tcW w:w="2619" w:type="dxa"/>
            <w:tcBorders>
              <w:top w:val="single" w:color="auto" w:sz="12" w:space="0"/>
              <w:bottom w:val="double" w:color="auto" w:sz="6" w:space="0"/>
            </w:tcBorders>
            <w:vAlign w:val="center"/>
          </w:tcPr>
          <w:p w14:paraId="397A46E1">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lang w:eastAsia="zh-CN"/>
              </w:rPr>
            </w:pPr>
            <w:r>
              <w:rPr>
                <w:rFonts w:hint="eastAsia" w:ascii="仿宋" w:hAnsi="仿宋" w:eastAsia="仿宋" w:cs="仿宋"/>
                <w:szCs w:val="21"/>
                <w:lang w:eastAsia="zh-CN"/>
              </w:rPr>
              <w:t>建设内容</w:t>
            </w:r>
          </w:p>
        </w:tc>
        <w:tc>
          <w:tcPr>
            <w:tcW w:w="2209" w:type="dxa"/>
            <w:tcBorders>
              <w:top w:val="single" w:color="auto" w:sz="12" w:space="0"/>
              <w:bottom w:val="double" w:color="auto" w:sz="6" w:space="0"/>
            </w:tcBorders>
            <w:vAlign w:val="center"/>
          </w:tcPr>
          <w:p w14:paraId="09087D8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合同价格（元）</w:t>
            </w:r>
          </w:p>
        </w:tc>
        <w:tc>
          <w:tcPr>
            <w:tcW w:w="1418" w:type="dxa"/>
            <w:tcBorders>
              <w:top w:val="single" w:color="auto" w:sz="12" w:space="0"/>
              <w:bottom w:val="double" w:color="auto" w:sz="6" w:space="0"/>
            </w:tcBorders>
            <w:vAlign w:val="center"/>
          </w:tcPr>
          <w:p w14:paraId="238CD2A5">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开工日期</w:t>
            </w:r>
          </w:p>
        </w:tc>
        <w:tc>
          <w:tcPr>
            <w:tcW w:w="1568" w:type="dxa"/>
            <w:tcBorders>
              <w:top w:val="single" w:color="auto" w:sz="12" w:space="0"/>
              <w:bottom w:val="double" w:color="auto" w:sz="6" w:space="0"/>
            </w:tcBorders>
            <w:vAlign w:val="center"/>
          </w:tcPr>
          <w:p w14:paraId="52BB3C5E">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竣工日期</w:t>
            </w:r>
          </w:p>
        </w:tc>
      </w:tr>
      <w:tr w14:paraId="3A60F6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19" w:type="dxa"/>
            <w:tcBorders>
              <w:top w:val="double" w:color="auto" w:sz="6" w:space="0"/>
              <w:bottom w:val="single" w:color="auto" w:sz="6" w:space="0"/>
            </w:tcBorders>
            <w:vAlign w:val="center"/>
          </w:tcPr>
          <w:p w14:paraId="66D5BFDD">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566" w:type="dxa"/>
            <w:tcBorders>
              <w:top w:val="double" w:color="auto" w:sz="6" w:space="0"/>
              <w:bottom w:val="single" w:color="auto" w:sz="6" w:space="0"/>
            </w:tcBorders>
            <w:vAlign w:val="center"/>
          </w:tcPr>
          <w:p w14:paraId="1A79EA6A">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619" w:type="dxa"/>
            <w:tcBorders>
              <w:top w:val="double" w:color="auto" w:sz="6" w:space="0"/>
              <w:bottom w:val="single" w:color="auto" w:sz="6" w:space="0"/>
            </w:tcBorders>
            <w:vAlign w:val="center"/>
          </w:tcPr>
          <w:p w14:paraId="131ABF65">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209" w:type="dxa"/>
            <w:tcBorders>
              <w:top w:val="double" w:color="auto" w:sz="6" w:space="0"/>
              <w:bottom w:val="single" w:color="auto" w:sz="6" w:space="0"/>
            </w:tcBorders>
            <w:vAlign w:val="center"/>
          </w:tcPr>
          <w:p w14:paraId="1874F93E">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1418" w:type="dxa"/>
            <w:tcBorders>
              <w:top w:val="double" w:color="auto" w:sz="6" w:space="0"/>
              <w:bottom w:val="single" w:color="auto" w:sz="6" w:space="0"/>
            </w:tcBorders>
            <w:vAlign w:val="center"/>
          </w:tcPr>
          <w:p w14:paraId="4EE30E9F">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1568" w:type="dxa"/>
            <w:tcBorders>
              <w:top w:val="double" w:color="auto" w:sz="6" w:space="0"/>
              <w:bottom w:val="single" w:color="auto" w:sz="6" w:space="0"/>
            </w:tcBorders>
            <w:vAlign w:val="center"/>
          </w:tcPr>
          <w:p w14:paraId="6FFCC9E4">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320D75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19" w:type="dxa"/>
            <w:tcBorders>
              <w:top w:val="nil"/>
            </w:tcBorders>
            <w:vAlign w:val="center"/>
          </w:tcPr>
          <w:p w14:paraId="14E3241B">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566" w:type="dxa"/>
            <w:tcBorders>
              <w:top w:val="nil"/>
            </w:tcBorders>
            <w:vAlign w:val="center"/>
          </w:tcPr>
          <w:p w14:paraId="5247F829">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619" w:type="dxa"/>
            <w:tcBorders>
              <w:top w:val="nil"/>
            </w:tcBorders>
            <w:vAlign w:val="center"/>
          </w:tcPr>
          <w:p w14:paraId="40872D8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209" w:type="dxa"/>
            <w:tcBorders>
              <w:top w:val="nil"/>
            </w:tcBorders>
            <w:vAlign w:val="center"/>
          </w:tcPr>
          <w:p w14:paraId="3E2DB677">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1418" w:type="dxa"/>
            <w:tcBorders>
              <w:top w:val="nil"/>
            </w:tcBorders>
            <w:vAlign w:val="center"/>
          </w:tcPr>
          <w:p w14:paraId="0E4032A2">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1568" w:type="dxa"/>
            <w:tcBorders>
              <w:top w:val="nil"/>
            </w:tcBorders>
            <w:vAlign w:val="center"/>
          </w:tcPr>
          <w:p w14:paraId="447E092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3D0B5B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19" w:type="dxa"/>
            <w:tcBorders>
              <w:top w:val="nil"/>
            </w:tcBorders>
            <w:vAlign w:val="center"/>
          </w:tcPr>
          <w:p w14:paraId="35DC7780">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566" w:type="dxa"/>
            <w:tcBorders>
              <w:top w:val="nil"/>
            </w:tcBorders>
            <w:vAlign w:val="center"/>
          </w:tcPr>
          <w:p w14:paraId="7B724356">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619" w:type="dxa"/>
            <w:tcBorders>
              <w:top w:val="nil"/>
            </w:tcBorders>
            <w:vAlign w:val="center"/>
          </w:tcPr>
          <w:p w14:paraId="0FB94576">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209" w:type="dxa"/>
            <w:tcBorders>
              <w:top w:val="nil"/>
            </w:tcBorders>
            <w:vAlign w:val="center"/>
          </w:tcPr>
          <w:p w14:paraId="42D46E6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1418" w:type="dxa"/>
            <w:tcBorders>
              <w:top w:val="nil"/>
            </w:tcBorders>
            <w:vAlign w:val="center"/>
          </w:tcPr>
          <w:p w14:paraId="520BA132">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1568" w:type="dxa"/>
            <w:tcBorders>
              <w:top w:val="nil"/>
            </w:tcBorders>
            <w:vAlign w:val="center"/>
          </w:tcPr>
          <w:p w14:paraId="4A4CC8DF">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5636EB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19" w:type="dxa"/>
            <w:vAlign w:val="center"/>
          </w:tcPr>
          <w:p w14:paraId="79C6E064">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566" w:type="dxa"/>
            <w:vAlign w:val="center"/>
          </w:tcPr>
          <w:p w14:paraId="6233DEF1">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619" w:type="dxa"/>
            <w:vAlign w:val="center"/>
          </w:tcPr>
          <w:p w14:paraId="78CC30D2">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209" w:type="dxa"/>
            <w:vAlign w:val="center"/>
          </w:tcPr>
          <w:p w14:paraId="42B0B20B">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1418" w:type="dxa"/>
            <w:vAlign w:val="center"/>
          </w:tcPr>
          <w:p w14:paraId="5059A862">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1568" w:type="dxa"/>
            <w:vAlign w:val="center"/>
          </w:tcPr>
          <w:p w14:paraId="7A7BE160">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0CB6FA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19" w:type="dxa"/>
            <w:tcBorders>
              <w:top w:val="nil"/>
            </w:tcBorders>
            <w:vAlign w:val="center"/>
          </w:tcPr>
          <w:p w14:paraId="685F2CD9">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566" w:type="dxa"/>
            <w:tcBorders>
              <w:top w:val="nil"/>
            </w:tcBorders>
            <w:vAlign w:val="center"/>
          </w:tcPr>
          <w:p w14:paraId="3D3C6E2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619" w:type="dxa"/>
            <w:tcBorders>
              <w:top w:val="nil"/>
            </w:tcBorders>
            <w:vAlign w:val="center"/>
          </w:tcPr>
          <w:p w14:paraId="752AA2A5">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209" w:type="dxa"/>
            <w:tcBorders>
              <w:top w:val="nil"/>
            </w:tcBorders>
            <w:vAlign w:val="center"/>
          </w:tcPr>
          <w:p w14:paraId="26D360C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1418" w:type="dxa"/>
            <w:tcBorders>
              <w:top w:val="nil"/>
            </w:tcBorders>
            <w:vAlign w:val="center"/>
          </w:tcPr>
          <w:p w14:paraId="3BBDAF20">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1568" w:type="dxa"/>
            <w:tcBorders>
              <w:top w:val="nil"/>
            </w:tcBorders>
            <w:vAlign w:val="center"/>
          </w:tcPr>
          <w:p w14:paraId="0A4589C8">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056F33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19" w:type="dxa"/>
            <w:vAlign w:val="center"/>
          </w:tcPr>
          <w:p w14:paraId="30D20578">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566" w:type="dxa"/>
            <w:vAlign w:val="center"/>
          </w:tcPr>
          <w:p w14:paraId="269CEDEA">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619" w:type="dxa"/>
            <w:vAlign w:val="center"/>
          </w:tcPr>
          <w:p w14:paraId="7A725662">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209" w:type="dxa"/>
            <w:vAlign w:val="center"/>
          </w:tcPr>
          <w:p w14:paraId="428F052E">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1418" w:type="dxa"/>
            <w:vAlign w:val="center"/>
          </w:tcPr>
          <w:p w14:paraId="469DC6F9">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1568" w:type="dxa"/>
            <w:vAlign w:val="center"/>
          </w:tcPr>
          <w:p w14:paraId="26B3859E">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1C8893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19" w:type="dxa"/>
            <w:tcBorders>
              <w:top w:val="nil"/>
            </w:tcBorders>
            <w:vAlign w:val="center"/>
          </w:tcPr>
          <w:p w14:paraId="4E70E117">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566" w:type="dxa"/>
            <w:tcBorders>
              <w:top w:val="nil"/>
            </w:tcBorders>
            <w:vAlign w:val="center"/>
          </w:tcPr>
          <w:p w14:paraId="72B7BBF6">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619" w:type="dxa"/>
            <w:tcBorders>
              <w:top w:val="nil"/>
            </w:tcBorders>
            <w:vAlign w:val="center"/>
          </w:tcPr>
          <w:p w14:paraId="731CC06A">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209" w:type="dxa"/>
            <w:tcBorders>
              <w:top w:val="nil"/>
            </w:tcBorders>
            <w:vAlign w:val="center"/>
          </w:tcPr>
          <w:p w14:paraId="7803E27F">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1418" w:type="dxa"/>
            <w:tcBorders>
              <w:top w:val="nil"/>
            </w:tcBorders>
            <w:vAlign w:val="center"/>
          </w:tcPr>
          <w:p w14:paraId="411643A5">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1568" w:type="dxa"/>
            <w:tcBorders>
              <w:top w:val="nil"/>
            </w:tcBorders>
            <w:vAlign w:val="center"/>
          </w:tcPr>
          <w:p w14:paraId="41E34E37">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3BC9DB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19" w:type="dxa"/>
            <w:tcBorders>
              <w:top w:val="nil"/>
            </w:tcBorders>
            <w:vAlign w:val="center"/>
          </w:tcPr>
          <w:p w14:paraId="2CE84985">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566" w:type="dxa"/>
            <w:tcBorders>
              <w:top w:val="nil"/>
            </w:tcBorders>
            <w:vAlign w:val="center"/>
          </w:tcPr>
          <w:p w14:paraId="4D38E197">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619" w:type="dxa"/>
            <w:tcBorders>
              <w:top w:val="nil"/>
            </w:tcBorders>
            <w:vAlign w:val="center"/>
          </w:tcPr>
          <w:p w14:paraId="710AF587">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209" w:type="dxa"/>
            <w:tcBorders>
              <w:top w:val="nil"/>
            </w:tcBorders>
            <w:vAlign w:val="center"/>
          </w:tcPr>
          <w:p w14:paraId="34487821">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1418" w:type="dxa"/>
            <w:tcBorders>
              <w:top w:val="nil"/>
            </w:tcBorders>
            <w:vAlign w:val="center"/>
          </w:tcPr>
          <w:p w14:paraId="55C6B54A">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1568" w:type="dxa"/>
            <w:tcBorders>
              <w:top w:val="nil"/>
            </w:tcBorders>
            <w:vAlign w:val="center"/>
          </w:tcPr>
          <w:p w14:paraId="447F0A30">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1CAF0D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19" w:type="dxa"/>
            <w:vAlign w:val="center"/>
          </w:tcPr>
          <w:p w14:paraId="299E185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566" w:type="dxa"/>
            <w:vAlign w:val="center"/>
          </w:tcPr>
          <w:p w14:paraId="321BE880">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619" w:type="dxa"/>
            <w:vAlign w:val="center"/>
          </w:tcPr>
          <w:p w14:paraId="036A3846">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209" w:type="dxa"/>
            <w:vAlign w:val="center"/>
          </w:tcPr>
          <w:p w14:paraId="7B8B331F">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1418" w:type="dxa"/>
            <w:vAlign w:val="center"/>
          </w:tcPr>
          <w:p w14:paraId="1D4AE504">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1568" w:type="dxa"/>
            <w:vAlign w:val="center"/>
          </w:tcPr>
          <w:p w14:paraId="064C11CD">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6395F2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19" w:type="dxa"/>
            <w:tcBorders>
              <w:top w:val="nil"/>
            </w:tcBorders>
            <w:vAlign w:val="center"/>
          </w:tcPr>
          <w:p w14:paraId="36934715">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566" w:type="dxa"/>
            <w:tcBorders>
              <w:top w:val="nil"/>
            </w:tcBorders>
            <w:vAlign w:val="center"/>
          </w:tcPr>
          <w:p w14:paraId="308B9E6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619" w:type="dxa"/>
            <w:tcBorders>
              <w:top w:val="nil"/>
            </w:tcBorders>
            <w:vAlign w:val="center"/>
          </w:tcPr>
          <w:p w14:paraId="42915257">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209" w:type="dxa"/>
            <w:tcBorders>
              <w:top w:val="nil"/>
            </w:tcBorders>
            <w:vAlign w:val="center"/>
          </w:tcPr>
          <w:p w14:paraId="7436452B">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1418" w:type="dxa"/>
            <w:tcBorders>
              <w:top w:val="nil"/>
            </w:tcBorders>
            <w:vAlign w:val="center"/>
          </w:tcPr>
          <w:p w14:paraId="69E20E0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1568" w:type="dxa"/>
            <w:tcBorders>
              <w:top w:val="nil"/>
            </w:tcBorders>
            <w:vAlign w:val="center"/>
          </w:tcPr>
          <w:p w14:paraId="66316076">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592489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19" w:type="dxa"/>
            <w:vAlign w:val="center"/>
          </w:tcPr>
          <w:p w14:paraId="2B64CA08">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566" w:type="dxa"/>
            <w:vAlign w:val="center"/>
          </w:tcPr>
          <w:p w14:paraId="63431F39">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619" w:type="dxa"/>
            <w:vAlign w:val="center"/>
          </w:tcPr>
          <w:p w14:paraId="73648354">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209" w:type="dxa"/>
            <w:vAlign w:val="center"/>
          </w:tcPr>
          <w:p w14:paraId="7676D6E2">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1418" w:type="dxa"/>
            <w:vAlign w:val="center"/>
          </w:tcPr>
          <w:p w14:paraId="7798CF41">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1568" w:type="dxa"/>
            <w:vAlign w:val="center"/>
          </w:tcPr>
          <w:p w14:paraId="13B59629">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bl>
    <w:p w14:paraId="1DCEA904">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b/>
          <w:szCs w:val="21"/>
        </w:rPr>
        <w:sectPr>
          <w:headerReference r:id="rId3" w:type="first"/>
          <w:footerReference r:id="rId4" w:type="first"/>
          <w:pgSz w:w="16838" w:h="11906" w:orient="landscape"/>
          <w:pgMar w:top="1134" w:right="1418" w:bottom="1531" w:left="1418" w:header="907" w:footer="907" w:gutter="0"/>
          <w:cols w:space="720" w:num="1"/>
          <w:titlePg/>
          <w:docGrid w:type="linesAndChars" w:linePitch="312" w:charSpace="0"/>
        </w:sectPr>
      </w:pPr>
    </w:p>
    <w:p w14:paraId="620483D7">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附</w:t>
      </w:r>
      <w:bookmarkStart w:id="12" w:name="_Toc296346726"/>
      <w:bookmarkStart w:id="13" w:name="_Toc296891265"/>
      <w:bookmarkStart w:id="14" w:name="_Toc296891053"/>
      <w:bookmarkStart w:id="15" w:name="_Toc296503225"/>
      <w:bookmarkStart w:id="16" w:name="_Toc267261692"/>
      <w:bookmarkStart w:id="17" w:name="_Toc296944564"/>
      <w:bookmarkStart w:id="18" w:name="_Toc296347224"/>
      <w:r>
        <w:rPr>
          <w:rFonts w:hint="eastAsia" w:ascii="仿宋" w:hAnsi="仿宋" w:eastAsia="仿宋" w:cs="仿宋"/>
          <w:szCs w:val="21"/>
        </w:rPr>
        <w:t>件2：</w:t>
      </w:r>
    </w:p>
    <w:bookmarkEnd w:id="12"/>
    <w:bookmarkEnd w:id="13"/>
    <w:bookmarkEnd w:id="14"/>
    <w:bookmarkEnd w:id="15"/>
    <w:bookmarkEnd w:id="16"/>
    <w:bookmarkEnd w:id="17"/>
    <w:bookmarkEnd w:id="18"/>
    <w:p w14:paraId="5C9FE1B6">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lang w:eastAsia="zh-CN"/>
        </w:rPr>
        <w:t>承包</w:t>
      </w:r>
      <w:r>
        <w:rPr>
          <w:rFonts w:hint="eastAsia" w:ascii="仿宋" w:hAnsi="仿宋" w:eastAsia="仿宋" w:cs="仿宋"/>
          <w:szCs w:val="21"/>
        </w:rPr>
        <w:t>人供应材料设备一览表</w:t>
      </w:r>
    </w:p>
    <w:tbl>
      <w:tblPr>
        <w:tblStyle w:val="7"/>
        <w:tblW w:w="4717"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576"/>
        <w:gridCol w:w="922"/>
        <w:gridCol w:w="904"/>
        <w:gridCol w:w="637"/>
        <w:gridCol w:w="637"/>
        <w:gridCol w:w="577"/>
        <w:gridCol w:w="957"/>
        <w:gridCol w:w="738"/>
        <w:gridCol w:w="861"/>
        <w:gridCol w:w="616"/>
        <w:gridCol w:w="464"/>
      </w:tblGrid>
      <w:tr w14:paraId="70E629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365" w:type="pct"/>
            <w:tcBorders>
              <w:top w:val="single" w:color="auto" w:sz="12" w:space="0"/>
              <w:bottom w:val="double" w:color="auto" w:sz="6" w:space="0"/>
            </w:tcBorders>
            <w:vAlign w:val="center"/>
          </w:tcPr>
          <w:p w14:paraId="22AE425C">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szCs w:val="21"/>
              </w:rPr>
            </w:pPr>
            <w:r>
              <w:rPr>
                <w:rFonts w:hint="eastAsia" w:ascii="仿宋" w:hAnsi="仿宋" w:eastAsia="仿宋" w:cs="仿宋"/>
                <w:szCs w:val="21"/>
              </w:rPr>
              <w:t>序号</w:t>
            </w:r>
          </w:p>
        </w:tc>
        <w:tc>
          <w:tcPr>
            <w:tcW w:w="584" w:type="pct"/>
            <w:tcBorders>
              <w:top w:val="single" w:color="auto" w:sz="12" w:space="0"/>
              <w:bottom w:val="double" w:color="auto" w:sz="6" w:space="0"/>
            </w:tcBorders>
            <w:vAlign w:val="center"/>
          </w:tcPr>
          <w:p w14:paraId="53AACAE0">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szCs w:val="21"/>
              </w:rPr>
            </w:pPr>
            <w:r>
              <w:rPr>
                <w:rFonts w:hint="eastAsia" w:ascii="仿宋" w:hAnsi="仿宋" w:eastAsia="仿宋" w:cs="仿宋"/>
                <w:szCs w:val="21"/>
              </w:rPr>
              <w:t>材料、设备品种</w:t>
            </w:r>
          </w:p>
        </w:tc>
        <w:tc>
          <w:tcPr>
            <w:tcW w:w="572" w:type="pct"/>
            <w:tcBorders>
              <w:top w:val="single" w:color="auto" w:sz="12" w:space="0"/>
              <w:bottom w:val="double" w:color="auto" w:sz="6" w:space="0"/>
            </w:tcBorders>
            <w:vAlign w:val="center"/>
          </w:tcPr>
          <w:p w14:paraId="62DFE7F1">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szCs w:val="21"/>
              </w:rPr>
            </w:pPr>
            <w:r>
              <w:rPr>
                <w:rFonts w:hint="eastAsia" w:ascii="仿宋" w:hAnsi="仿宋" w:eastAsia="仿宋" w:cs="仿宋"/>
                <w:szCs w:val="21"/>
              </w:rPr>
              <w:t>规格型号</w:t>
            </w:r>
          </w:p>
        </w:tc>
        <w:tc>
          <w:tcPr>
            <w:tcW w:w="403" w:type="pct"/>
            <w:tcBorders>
              <w:top w:val="single" w:color="auto" w:sz="12" w:space="0"/>
              <w:bottom w:val="double" w:color="auto" w:sz="6" w:space="0"/>
            </w:tcBorders>
            <w:vAlign w:val="center"/>
          </w:tcPr>
          <w:p w14:paraId="556EED94">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szCs w:val="21"/>
                <w:lang w:eastAsia="zh-CN"/>
              </w:rPr>
            </w:pPr>
            <w:r>
              <w:rPr>
                <w:rFonts w:hint="eastAsia" w:ascii="仿宋" w:hAnsi="仿宋" w:eastAsia="仿宋" w:cs="仿宋"/>
                <w:szCs w:val="21"/>
                <w:highlight w:val="none"/>
                <w:lang w:eastAsia="zh-CN"/>
              </w:rPr>
              <w:t>品牌</w:t>
            </w:r>
          </w:p>
        </w:tc>
        <w:tc>
          <w:tcPr>
            <w:tcW w:w="403" w:type="pct"/>
            <w:tcBorders>
              <w:top w:val="single" w:color="auto" w:sz="12" w:space="0"/>
              <w:bottom w:val="double" w:color="auto" w:sz="6" w:space="0"/>
            </w:tcBorders>
            <w:vAlign w:val="center"/>
          </w:tcPr>
          <w:p w14:paraId="3AB26ACF">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szCs w:val="21"/>
              </w:rPr>
            </w:pPr>
            <w:r>
              <w:rPr>
                <w:rFonts w:hint="eastAsia" w:ascii="仿宋" w:hAnsi="仿宋" w:eastAsia="仿宋" w:cs="仿宋"/>
                <w:szCs w:val="21"/>
              </w:rPr>
              <w:t>单位</w:t>
            </w:r>
          </w:p>
        </w:tc>
        <w:tc>
          <w:tcPr>
            <w:tcW w:w="365" w:type="pct"/>
            <w:tcBorders>
              <w:top w:val="single" w:color="auto" w:sz="12" w:space="0"/>
              <w:bottom w:val="double" w:color="auto" w:sz="6" w:space="0"/>
            </w:tcBorders>
            <w:vAlign w:val="center"/>
          </w:tcPr>
          <w:p w14:paraId="7E64D5D5">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szCs w:val="21"/>
              </w:rPr>
            </w:pPr>
            <w:r>
              <w:rPr>
                <w:rFonts w:hint="eastAsia" w:ascii="仿宋" w:hAnsi="仿宋" w:eastAsia="仿宋" w:cs="仿宋"/>
                <w:szCs w:val="21"/>
              </w:rPr>
              <w:t>数量</w:t>
            </w:r>
          </w:p>
        </w:tc>
        <w:tc>
          <w:tcPr>
            <w:tcW w:w="606" w:type="pct"/>
            <w:tcBorders>
              <w:top w:val="single" w:color="auto" w:sz="12" w:space="0"/>
              <w:bottom w:val="double" w:color="auto" w:sz="6" w:space="0"/>
            </w:tcBorders>
            <w:vAlign w:val="center"/>
          </w:tcPr>
          <w:p w14:paraId="1BA41706">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szCs w:val="21"/>
              </w:rPr>
            </w:pPr>
            <w:r>
              <w:rPr>
                <w:rFonts w:hint="eastAsia" w:ascii="仿宋" w:hAnsi="仿宋" w:eastAsia="仿宋" w:cs="仿宋"/>
                <w:szCs w:val="21"/>
              </w:rPr>
              <w:t>单价（元）</w:t>
            </w:r>
          </w:p>
        </w:tc>
        <w:tc>
          <w:tcPr>
            <w:tcW w:w="467" w:type="pct"/>
            <w:tcBorders>
              <w:top w:val="single" w:color="auto" w:sz="12" w:space="0"/>
              <w:bottom w:val="double" w:color="auto" w:sz="6" w:space="0"/>
            </w:tcBorders>
            <w:vAlign w:val="center"/>
          </w:tcPr>
          <w:p w14:paraId="22560896">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szCs w:val="21"/>
              </w:rPr>
            </w:pPr>
            <w:r>
              <w:rPr>
                <w:rFonts w:hint="eastAsia" w:ascii="仿宋" w:hAnsi="仿宋" w:eastAsia="仿宋" w:cs="仿宋"/>
                <w:szCs w:val="21"/>
              </w:rPr>
              <w:t>质量</w:t>
            </w:r>
          </w:p>
          <w:p w14:paraId="1F250840">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szCs w:val="21"/>
              </w:rPr>
            </w:pPr>
            <w:r>
              <w:rPr>
                <w:rFonts w:hint="eastAsia" w:ascii="仿宋" w:hAnsi="仿宋" w:eastAsia="仿宋" w:cs="仿宋"/>
                <w:szCs w:val="21"/>
              </w:rPr>
              <w:t>等级</w:t>
            </w:r>
          </w:p>
        </w:tc>
        <w:tc>
          <w:tcPr>
            <w:tcW w:w="545" w:type="pct"/>
            <w:tcBorders>
              <w:top w:val="single" w:color="auto" w:sz="12" w:space="0"/>
              <w:bottom w:val="double" w:color="auto" w:sz="6" w:space="0"/>
            </w:tcBorders>
            <w:vAlign w:val="center"/>
          </w:tcPr>
          <w:p w14:paraId="638639BB">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szCs w:val="21"/>
              </w:rPr>
            </w:pPr>
            <w:r>
              <w:rPr>
                <w:rFonts w:hint="eastAsia" w:ascii="仿宋" w:hAnsi="仿宋" w:eastAsia="仿宋" w:cs="仿宋"/>
                <w:szCs w:val="21"/>
              </w:rPr>
              <w:t>供应时间</w:t>
            </w:r>
          </w:p>
        </w:tc>
        <w:tc>
          <w:tcPr>
            <w:tcW w:w="390" w:type="pct"/>
            <w:tcBorders>
              <w:top w:val="single" w:color="auto" w:sz="12" w:space="0"/>
              <w:bottom w:val="double" w:color="auto" w:sz="6" w:space="0"/>
            </w:tcBorders>
            <w:vAlign w:val="center"/>
          </w:tcPr>
          <w:p w14:paraId="2581763D">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szCs w:val="21"/>
              </w:rPr>
            </w:pPr>
            <w:r>
              <w:rPr>
                <w:rFonts w:hint="eastAsia" w:ascii="仿宋" w:hAnsi="仿宋" w:eastAsia="仿宋" w:cs="仿宋"/>
                <w:szCs w:val="21"/>
              </w:rPr>
              <w:t>送达</w:t>
            </w:r>
          </w:p>
          <w:p w14:paraId="63E42806">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szCs w:val="21"/>
              </w:rPr>
            </w:pPr>
            <w:r>
              <w:rPr>
                <w:rFonts w:hint="eastAsia" w:ascii="仿宋" w:hAnsi="仿宋" w:eastAsia="仿宋" w:cs="仿宋"/>
                <w:szCs w:val="21"/>
              </w:rPr>
              <w:t>地点</w:t>
            </w:r>
          </w:p>
        </w:tc>
        <w:tc>
          <w:tcPr>
            <w:tcW w:w="294" w:type="pct"/>
            <w:tcBorders>
              <w:top w:val="single" w:color="auto" w:sz="12" w:space="0"/>
              <w:bottom w:val="double" w:color="auto" w:sz="6" w:space="0"/>
            </w:tcBorders>
            <w:vAlign w:val="center"/>
          </w:tcPr>
          <w:p w14:paraId="028F23E7">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备注</w:t>
            </w:r>
          </w:p>
        </w:tc>
      </w:tr>
      <w:tr w14:paraId="19734E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65" w:type="pct"/>
            <w:tcBorders>
              <w:top w:val="double" w:color="auto" w:sz="6" w:space="0"/>
              <w:bottom w:val="single" w:color="auto" w:sz="6" w:space="0"/>
            </w:tcBorders>
            <w:vAlign w:val="center"/>
          </w:tcPr>
          <w:p w14:paraId="23230D48">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szCs w:val="21"/>
              </w:rPr>
            </w:pPr>
          </w:p>
        </w:tc>
        <w:tc>
          <w:tcPr>
            <w:tcW w:w="584" w:type="pct"/>
            <w:tcBorders>
              <w:top w:val="double" w:color="auto" w:sz="6" w:space="0"/>
              <w:bottom w:val="single" w:color="auto" w:sz="6" w:space="0"/>
            </w:tcBorders>
            <w:vAlign w:val="center"/>
          </w:tcPr>
          <w:p w14:paraId="5FEFEB17">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szCs w:val="21"/>
              </w:rPr>
            </w:pPr>
          </w:p>
        </w:tc>
        <w:tc>
          <w:tcPr>
            <w:tcW w:w="572" w:type="pct"/>
            <w:tcBorders>
              <w:top w:val="double" w:color="auto" w:sz="6" w:space="0"/>
              <w:bottom w:val="single" w:color="auto" w:sz="6" w:space="0"/>
            </w:tcBorders>
            <w:vAlign w:val="center"/>
          </w:tcPr>
          <w:p w14:paraId="47319D5B">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szCs w:val="21"/>
              </w:rPr>
            </w:pPr>
          </w:p>
        </w:tc>
        <w:tc>
          <w:tcPr>
            <w:tcW w:w="403" w:type="pct"/>
            <w:tcBorders>
              <w:top w:val="double" w:color="auto" w:sz="6" w:space="0"/>
              <w:bottom w:val="single" w:color="auto" w:sz="6" w:space="0"/>
            </w:tcBorders>
            <w:vAlign w:val="center"/>
          </w:tcPr>
          <w:p w14:paraId="774B804F">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szCs w:val="21"/>
              </w:rPr>
            </w:pPr>
          </w:p>
        </w:tc>
        <w:tc>
          <w:tcPr>
            <w:tcW w:w="403" w:type="pct"/>
            <w:tcBorders>
              <w:top w:val="double" w:color="auto" w:sz="6" w:space="0"/>
              <w:bottom w:val="single" w:color="auto" w:sz="6" w:space="0"/>
            </w:tcBorders>
            <w:vAlign w:val="center"/>
          </w:tcPr>
          <w:p w14:paraId="7DF20A3C">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szCs w:val="21"/>
              </w:rPr>
            </w:pPr>
          </w:p>
        </w:tc>
        <w:tc>
          <w:tcPr>
            <w:tcW w:w="365" w:type="pct"/>
            <w:tcBorders>
              <w:top w:val="double" w:color="auto" w:sz="6" w:space="0"/>
              <w:bottom w:val="single" w:color="auto" w:sz="6" w:space="0"/>
            </w:tcBorders>
            <w:vAlign w:val="center"/>
          </w:tcPr>
          <w:p w14:paraId="78F727CB">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szCs w:val="21"/>
              </w:rPr>
            </w:pPr>
          </w:p>
        </w:tc>
        <w:tc>
          <w:tcPr>
            <w:tcW w:w="606" w:type="pct"/>
            <w:tcBorders>
              <w:top w:val="double" w:color="auto" w:sz="6" w:space="0"/>
              <w:bottom w:val="single" w:color="auto" w:sz="6" w:space="0"/>
            </w:tcBorders>
            <w:vAlign w:val="center"/>
          </w:tcPr>
          <w:p w14:paraId="2AF81636">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szCs w:val="21"/>
              </w:rPr>
            </w:pPr>
          </w:p>
        </w:tc>
        <w:tc>
          <w:tcPr>
            <w:tcW w:w="467" w:type="pct"/>
            <w:tcBorders>
              <w:top w:val="double" w:color="auto" w:sz="6" w:space="0"/>
              <w:bottom w:val="single" w:color="auto" w:sz="6" w:space="0"/>
            </w:tcBorders>
            <w:vAlign w:val="center"/>
          </w:tcPr>
          <w:p w14:paraId="4B02793C">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szCs w:val="21"/>
              </w:rPr>
            </w:pPr>
          </w:p>
        </w:tc>
        <w:tc>
          <w:tcPr>
            <w:tcW w:w="545" w:type="pct"/>
            <w:tcBorders>
              <w:top w:val="double" w:color="auto" w:sz="6" w:space="0"/>
              <w:bottom w:val="single" w:color="auto" w:sz="6" w:space="0"/>
            </w:tcBorders>
            <w:vAlign w:val="center"/>
          </w:tcPr>
          <w:p w14:paraId="607771EB">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szCs w:val="21"/>
              </w:rPr>
            </w:pPr>
          </w:p>
        </w:tc>
        <w:tc>
          <w:tcPr>
            <w:tcW w:w="390" w:type="pct"/>
            <w:tcBorders>
              <w:top w:val="double" w:color="auto" w:sz="6" w:space="0"/>
              <w:bottom w:val="single" w:color="auto" w:sz="6" w:space="0"/>
            </w:tcBorders>
            <w:vAlign w:val="center"/>
          </w:tcPr>
          <w:p w14:paraId="238C56BB">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szCs w:val="21"/>
              </w:rPr>
            </w:pPr>
          </w:p>
        </w:tc>
        <w:tc>
          <w:tcPr>
            <w:tcW w:w="294" w:type="pct"/>
            <w:tcBorders>
              <w:top w:val="double" w:color="auto" w:sz="6" w:space="0"/>
              <w:bottom w:val="single" w:color="auto" w:sz="6" w:space="0"/>
            </w:tcBorders>
            <w:vAlign w:val="center"/>
          </w:tcPr>
          <w:p w14:paraId="274A79E0">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0C6D96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65" w:type="pct"/>
            <w:tcBorders>
              <w:top w:val="nil"/>
            </w:tcBorders>
            <w:vAlign w:val="center"/>
          </w:tcPr>
          <w:p w14:paraId="16348342">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84" w:type="pct"/>
            <w:tcBorders>
              <w:top w:val="nil"/>
            </w:tcBorders>
            <w:vAlign w:val="center"/>
          </w:tcPr>
          <w:p w14:paraId="7E560D6F">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2" w:type="pct"/>
            <w:tcBorders>
              <w:top w:val="nil"/>
            </w:tcBorders>
            <w:vAlign w:val="center"/>
          </w:tcPr>
          <w:p w14:paraId="5380997D">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tcBorders>
              <w:top w:val="nil"/>
            </w:tcBorders>
            <w:vAlign w:val="center"/>
          </w:tcPr>
          <w:p w14:paraId="4DE75CC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tcBorders>
              <w:top w:val="nil"/>
            </w:tcBorders>
            <w:vAlign w:val="center"/>
          </w:tcPr>
          <w:p w14:paraId="4B27305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65" w:type="pct"/>
            <w:tcBorders>
              <w:top w:val="nil"/>
            </w:tcBorders>
            <w:vAlign w:val="center"/>
          </w:tcPr>
          <w:p w14:paraId="1D9D6DE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606" w:type="pct"/>
            <w:tcBorders>
              <w:top w:val="nil"/>
            </w:tcBorders>
            <w:vAlign w:val="center"/>
          </w:tcPr>
          <w:p w14:paraId="044A8C84">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67" w:type="pct"/>
            <w:tcBorders>
              <w:top w:val="nil"/>
            </w:tcBorders>
            <w:vAlign w:val="center"/>
          </w:tcPr>
          <w:p w14:paraId="3AA15D55">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45" w:type="pct"/>
            <w:tcBorders>
              <w:top w:val="nil"/>
            </w:tcBorders>
            <w:vAlign w:val="center"/>
          </w:tcPr>
          <w:p w14:paraId="77F3FCE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90" w:type="pct"/>
            <w:tcBorders>
              <w:top w:val="nil"/>
            </w:tcBorders>
            <w:vAlign w:val="center"/>
          </w:tcPr>
          <w:p w14:paraId="7BC2F18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94" w:type="pct"/>
            <w:tcBorders>
              <w:top w:val="nil"/>
            </w:tcBorders>
            <w:vAlign w:val="center"/>
          </w:tcPr>
          <w:p w14:paraId="5C5DF5C7">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4C79B3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65" w:type="pct"/>
            <w:vAlign w:val="center"/>
          </w:tcPr>
          <w:p w14:paraId="08422FF6">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84" w:type="pct"/>
            <w:vAlign w:val="center"/>
          </w:tcPr>
          <w:p w14:paraId="05D1E727">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2" w:type="pct"/>
            <w:vAlign w:val="center"/>
          </w:tcPr>
          <w:p w14:paraId="779ADEBF">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1B9B196B">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6BC356D4">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65" w:type="pct"/>
            <w:vAlign w:val="center"/>
          </w:tcPr>
          <w:p w14:paraId="422C4062">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606" w:type="pct"/>
            <w:vAlign w:val="center"/>
          </w:tcPr>
          <w:p w14:paraId="19CBF986">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67" w:type="pct"/>
            <w:vAlign w:val="center"/>
          </w:tcPr>
          <w:p w14:paraId="56B0191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45" w:type="pct"/>
            <w:vAlign w:val="center"/>
          </w:tcPr>
          <w:p w14:paraId="5A254D92">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90" w:type="pct"/>
            <w:vAlign w:val="center"/>
          </w:tcPr>
          <w:p w14:paraId="2843645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94" w:type="pct"/>
            <w:vAlign w:val="center"/>
          </w:tcPr>
          <w:p w14:paraId="302691AD">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535D17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65" w:type="pct"/>
            <w:vAlign w:val="center"/>
          </w:tcPr>
          <w:p w14:paraId="48B98E9F">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84" w:type="pct"/>
            <w:vAlign w:val="center"/>
          </w:tcPr>
          <w:p w14:paraId="654D445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2" w:type="pct"/>
            <w:vAlign w:val="center"/>
          </w:tcPr>
          <w:p w14:paraId="1C2B504E">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3C19D8C0">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565F7F8B">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65" w:type="pct"/>
            <w:vAlign w:val="center"/>
          </w:tcPr>
          <w:p w14:paraId="106B22F1">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606" w:type="pct"/>
            <w:vAlign w:val="center"/>
          </w:tcPr>
          <w:p w14:paraId="7307ABC2">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67" w:type="pct"/>
            <w:vAlign w:val="center"/>
          </w:tcPr>
          <w:p w14:paraId="600F410A">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45" w:type="pct"/>
            <w:vAlign w:val="center"/>
          </w:tcPr>
          <w:p w14:paraId="5472339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90" w:type="pct"/>
            <w:vAlign w:val="center"/>
          </w:tcPr>
          <w:p w14:paraId="6A4ACA6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94" w:type="pct"/>
            <w:vAlign w:val="center"/>
          </w:tcPr>
          <w:p w14:paraId="31375F76">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32A90B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65" w:type="pct"/>
            <w:vAlign w:val="center"/>
          </w:tcPr>
          <w:p w14:paraId="06A56BBF">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84" w:type="pct"/>
            <w:vAlign w:val="center"/>
          </w:tcPr>
          <w:p w14:paraId="2F655D39">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2" w:type="pct"/>
            <w:vAlign w:val="center"/>
          </w:tcPr>
          <w:p w14:paraId="6D76B155">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702FFE11">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7D43DBA6">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65" w:type="pct"/>
            <w:vAlign w:val="center"/>
          </w:tcPr>
          <w:p w14:paraId="320B96EB">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606" w:type="pct"/>
            <w:vAlign w:val="center"/>
          </w:tcPr>
          <w:p w14:paraId="0CEAF53E">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67" w:type="pct"/>
            <w:vAlign w:val="center"/>
          </w:tcPr>
          <w:p w14:paraId="259F4EF0">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45" w:type="pct"/>
            <w:vAlign w:val="center"/>
          </w:tcPr>
          <w:p w14:paraId="2AFDB0BF">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90" w:type="pct"/>
            <w:vAlign w:val="center"/>
          </w:tcPr>
          <w:p w14:paraId="580FD3D8">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94" w:type="pct"/>
            <w:vAlign w:val="center"/>
          </w:tcPr>
          <w:p w14:paraId="2610823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613911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65" w:type="pct"/>
            <w:vAlign w:val="center"/>
          </w:tcPr>
          <w:p w14:paraId="09DF741B">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84" w:type="pct"/>
            <w:vAlign w:val="center"/>
          </w:tcPr>
          <w:p w14:paraId="26A5F305">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2" w:type="pct"/>
            <w:vAlign w:val="center"/>
          </w:tcPr>
          <w:p w14:paraId="3257057A">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65466BE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4F4EF595">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65" w:type="pct"/>
            <w:vAlign w:val="center"/>
          </w:tcPr>
          <w:p w14:paraId="3AAABBC9">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606" w:type="pct"/>
            <w:vAlign w:val="center"/>
          </w:tcPr>
          <w:p w14:paraId="56FA4DDA">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67" w:type="pct"/>
            <w:vAlign w:val="center"/>
          </w:tcPr>
          <w:p w14:paraId="554E4989">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45" w:type="pct"/>
            <w:vAlign w:val="center"/>
          </w:tcPr>
          <w:p w14:paraId="702DF617">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90" w:type="pct"/>
            <w:vAlign w:val="center"/>
          </w:tcPr>
          <w:p w14:paraId="3FE0AE0F">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94" w:type="pct"/>
            <w:vAlign w:val="center"/>
          </w:tcPr>
          <w:p w14:paraId="3BD6142E">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2936B6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65" w:type="pct"/>
            <w:vAlign w:val="center"/>
          </w:tcPr>
          <w:p w14:paraId="1376DD4E">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84" w:type="pct"/>
            <w:vAlign w:val="center"/>
          </w:tcPr>
          <w:p w14:paraId="5B075891">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2" w:type="pct"/>
            <w:vAlign w:val="center"/>
          </w:tcPr>
          <w:p w14:paraId="5D5DDF48">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499BF175">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4F883EF7">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65" w:type="pct"/>
            <w:vAlign w:val="center"/>
          </w:tcPr>
          <w:p w14:paraId="039AC54E">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606" w:type="pct"/>
            <w:vAlign w:val="center"/>
          </w:tcPr>
          <w:p w14:paraId="5DF210CF">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67" w:type="pct"/>
            <w:vAlign w:val="center"/>
          </w:tcPr>
          <w:p w14:paraId="65B41087">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45" w:type="pct"/>
            <w:vAlign w:val="center"/>
          </w:tcPr>
          <w:p w14:paraId="743EF8DE">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90" w:type="pct"/>
            <w:vAlign w:val="center"/>
          </w:tcPr>
          <w:p w14:paraId="3A0C0EB7">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94" w:type="pct"/>
            <w:vAlign w:val="center"/>
          </w:tcPr>
          <w:p w14:paraId="73CAF19E">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18162F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65" w:type="pct"/>
            <w:vAlign w:val="center"/>
          </w:tcPr>
          <w:p w14:paraId="00B67D18">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84" w:type="pct"/>
            <w:vAlign w:val="center"/>
          </w:tcPr>
          <w:p w14:paraId="221F037E">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2" w:type="pct"/>
            <w:vAlign w:val="center"/>
          </w:tcPr>
          <w:p w14:paraId="23765625">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25D8E3E9">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362B4B51">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65" w:type="pct"/>
            <w:vAlign w:val="center"/>
          </w:tcPr>
          <w:p w14:paraId="1D231E94">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606" w:type="pct"/>
            <w:vAlign w:val="center"/>
          </w:tcPr>
          <w:p w14:paraId="639B6628">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67" w:type="pct"/>
            <w:vAlign w:val="center"/>
          </w:tcPr>
          <w:p w14:paraId="5AA0054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45" w:type="pct"/>
            <w:vAlign w:val="center"/>
          </w:tcPr>
          <w:p w14:paraId="7E73CA9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90" w:type="pct"/>
            <w:vAlign w:val="center"/>
          </w:tcPr>
          <w:p w14:paraId="0E4C9CB9">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94" w:type="pct"/>
            <w:vAlign w:val="center"/>
          </w:tcPr>
          <w:p w14:paraId="3EDEE72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0F5A97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65" w:type="pct"/>
            <w:vAlign w:val="center"/>
          </w:tcPr>
          <w:p w14:paraId="78DD4529">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84" w:type="pct"/>
            <w:vAlign w:val="center"/>
          </w:tcPr>
          <w:p w14:paraId="5044F9F9">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2" w:type="pct"/>
            <w:vAlign w:val="center"/>
          </w:tcPr>
          <w:p w14:paraId="1BD11027">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12DA674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6A0BD825">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65" w:type="pct"/>
            <w:vAlign w:val="center"/>
          </w:tcPr>
          <w:p w14:paraId="4563F05A">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606" w:type="pct"/>
            <w:vAlign w:val="center"/>
          </w:tcPr>
          <w:p w14:paraId="62B86FEF">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67" w:type="pct"/>
            <w:vAlign w:val="center"/>
          </w:tcPr>
          <w:p w14:paraId="4E05DF9A">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45" w:type="pct"/>
            <w:vAlign w:val="center"/>
          </w:tcPr>
          <w:p w14:paraId="46D990F1">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90" w:type="pct"/>
            <w:vAlign w:val="center"/>
          </w:tcPr>
          <w:p w14:paraId="4B0A551B">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94" w:type="pct"/>
            <w:vAlign w:val="center"/>
          </w:tcPr>
          <w:p w14:paraId="315BFD6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316313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65" w:type="pct"/>
            <w:vAlign w:val="center"/>
          </w:tcPr>
          <w:p w14:paraId="160C39EE">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84" w:type="pct"/>
            <w:vAlign w:val="center"/>
          </w:tcPr>
          <w:p w14:paraId="0248CE69">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2" w:type="pct"/>
            <w:vAlign w:val="center"/>
          </w:tcPr>
          <w:p w14:paraId="5A3421C5">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05F1DD06">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47877B77">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65" w:type="pct"/>
            <w:vAlign w:val="center"/>
          </w:tcPr>
          <w:p w14:paraId="6CA903F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606" w:type="pct"/>
            <w:vAlign w:val="center"/>
          </w:tcPr>
          <w:p w14:paraId="128BCD90">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67" w:type="pct"/>
            <w:vAlign w:val="center"/>
          </w:tcPr>
          <w:p w14:paraId="4883AE48">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45" w:type="pct"/>
            <w:vAlign w:val="center"/>
          </w:tcPr>
          <w:p w14:paraId="47FA9269">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90" w:type="pct"/>
            <w:vAlign w:val="center"/>
          </w:tcPr>
          <w:p w14:paraId="55BE7D44">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94" w:type="pct"/>
            <w:vAlign w:val="center"/>
          </w:tcPr>
          <w:p w14:paraId="6F62DEB5">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46B919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65" w:type="pct"/>
            <w:vAlign w:val="center"/>
          </w:tcPr>
          <w:p w14:paraId="16BA36C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84" w:type="pct"/>
            <w:vAlign w:val="center"/>
          </w:tcPr>
          <w:p w14:paraId="3E420F4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2" w:type="pct"/>
            <w:vAlign w:val="center"/>
          </w:tcPr>
          <w:p w14:paraId="08899ACE">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40B52FC7">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194C24F7">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65" w:type="pct"/>
            <w:vAlign w:val="center"/>
          </w:tcPr>
          <w:p w14:paraId="5A1DEDBD">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606" w:type="pct"/>
            <w:vAlign w:val="center"/>
          </w:tcPr>
          <w:p w14:paraId="366A7D49">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67" w:type="pct"/>
            <w:vAlign w:val="center"/>
          </w:tcPr>
          <w:p w14:paraId="7D97C276">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45" w:type="pct"/>
            <w:vAlign w:val="center"/>
          </w:tcPr>
          <w:p w14:paraId="066BDB18">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90" w:type="pct"/>
            <w:vAlign w:val="center"/>
          </w:tcPr>
          <w:p w14:paraId="75CBDEE1">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94" w:type="pct"/>
            <w:vAlign w:val="center"/>
          </w:tcPr>
          <w:p w14:paraId="55E228A9">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2F93DE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65" w:type="pct"/>
            <w:vAlign w:val="center"/>
          </w:tcPr>
          <w:p w14:paraId="5712E67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84" w:type="pct"/>
            <w:vAlign w:val="center"/>
          </w:tcPr>
          <w:p w14:paraId="5CAEA064">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2" w:type="pct"/>
            <w:vAlign w:val="center"/>
          </w:tcPr>
          <w:p w14:paraId="5B5BBA7F">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52B30867">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254E67AB">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65" w:type="pct"/>
            <w:vAlign w:val="center"/>
          </w:tcPr>
          <w:p w14:paraId="7CB148CF">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606" w:type="pct"/>
            <w:vAlign w:val="center"/>
          </w:tcPr>
          <w:p w14:paraId="32587A0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67" w:type="pct"/>
            <w:vAlign w:val="center"/>
          </w:tcPr>
          <w:p w14:paraId="58FC8B92">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45" w:type="pct"/>
            <w:vAlign w:val="center"/>
          </w:tcPr>
          <w:p w14:paraId="1E716864">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90" w:type="pct"/>
            <w:vAlign w:val="center"/>
          </w:tcPr>
          <w:p w14:paraId="4E9AF1E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94" w:type="pct"/>
            <w:vAlign w:val="center"/>
          </w:tcPr>
          <w:p w14:paraId="74DE33D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2F970B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65" w:type="pct"/>
            <w:vAlign w:val="center"/>
          </w:tcPr>
          <w:p w14:paraId="1F9FBEA2">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84" w:type="pct"/>
            <w:vAlign w:val="center"/>
          </w:tcPr>
          <w:p w14:paraId="75676297">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2" w:type="pct"/>
            <w:vAlign w:val="center"/>
          </w:tcPr>
          <w:p w14:paraId="7030E2E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2E2462E0">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0560B499">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65" w:type="pct"/>
            <w:vAlign w:val="center"/>
          </w:tcPr>
          <w:p w14:paraId="1FF2667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606" w:type="pct"/>
            <w:vAlign w:val="center"/>
          </w:tcPr>
          <w:p w14:paraId="1E33E4B2">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67" w:type="pct"/>
            <w:vAlign w:val="center"/>
          </w:tcPr>
          <w:p w14:paraId="06CAEA9A">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45" w:type="pct"/>
            <w:vAlign w:val="center"/>
          </w:tcPr>
          <w:p w14:paraId="0CD16F4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90" w:type="pct"/>
            <w:vAlign w:val="center"/>
          </w:tcPr>
          <w:p w14:paraId="660CF7C5">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94" w:type="pct"/>
            <w:vAlign w:val="center"/>
          </w:tcPr>
          <w:p w14:paraId="08C9E440">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45194F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65" w:type="pct"/>
            <w:vAlign w:val="center"/>
          </w:tcPr>
          <w:p w14:paraId="799375DF">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84" w:type="pct"/>
            <w:vAlign w:val="center"/>
          </w:tcPr>
          <w:p w14:paraId="2ECB294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2" w:type="pct"/>
            <w:vAlign w:val="center"/>
          </w:tcPr>
          <w:p w14:paraId="49110671">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16D5B21A">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06467E9F">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65" w:type="pct"/>
            <w:vAlign w:val="center"/>
          </w:tcPr>
          <w:p w14:paraId="6F4E4748">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606" w:type="pct"/>
            <w:vAlign w:val="center"/>
          </w:tcPr>
          <w:p w14:paraId="0F031F2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67" w:type="pct"/>
            <w:vAlign w:val="center"/>
          </w:tcPr>
          <w:p w14:paraId="17B2AE1B">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45" w:type="pct"/>
            <w:vAlign w:val="center"/>
          </w:tcPr>
          <w:p w14:paraId="2B504B8E">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90" w:type="pct"/>
            <w:vAlign w:val="center"/>
          </w:tcPr>
          <w:p w14:paraId="4DD5B23B">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94" w:type="pct"/>
            <w:vAlign w:val="center"/>
          </w:tcPr>
          <w:p w14:paraId="780224D9">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4C9098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65" w:type="pct"/>
            <w:vAlign w:val="center"/>
          </w:tcPr>
          <w:p w14:paraId="728090AA">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84" w:type="pct"/>
            <w:vAlign w:val="center"/>
          </w:tcPr>
          <w:p w14:paraId="5EE45898">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2" w:type="pct"/>
            <w:vAlign w:val="center"/>
          </w:tcPr>
          <w:p w14:paraId="3806D6AA">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78282DE4">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11F42A4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65" w:type="pct"/>
            <w:vAlign w:val="center"/>
          </w:tcPr>
          <w:p w14:paraId="199794D8">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606" w:type="pct"/>
            <w:vAlign w:val="center"/>
          </w:tcPr>
          <w:p w14:paraId="27D2E458">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67" w:type="pct"/>
            <w:vAlign w:val="center"/>
          </w:tcPr>
          <w:p w14:paraId="36A994FD">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45" w:type="pct"/>
            <w:vAlign w:val="center"/>
          </w:tcPr>
          <w:p w14:paraId="400C4288">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90" w:type="pct"/>
            <w:vAlign w:val="center"/>
          </w:tcPr>
          <w:p w14:paraId="3E826F01">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94" w:type="pct"/>
            <w:vAlign w:val="center"/>
          </w:tcPr>
          <w:p w14:paraId="37507DB5">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64E975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65" w:type="pct"/>
            <w:vAlign w:val="center"/>
          </w:tcPr>
          <w:p w14:paraId="269E4505">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84" w:type="pct"/>
            <w:vAlign w:val="center"/>
          </w:tcPr>
          <w:p w14:paraId="27D95B5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2" w:type="pct"/>
            <w:vAlign w:val="center"/>
          </w:tcPr>
          <w:p w14:paraId="2425050D">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09839FB5">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789AAF4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65" w:type="pct"/>
            <w:vAlign w:val="center"/>
          </w:tcPr>
          <w:p w14:paraId="7DE71776">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606" w:type="pct"/>
            <w:vAlign w:val="center"/>
          </w:tcPr>
          <w:p w14:paraId="747871F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67" w:type="pct"/>
            <w:vAlign w:val="center"/>
          </w:tcPr>
          <w:p w14:paraId="10E82A16">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45" w:type="pct"/>
            <w:vAlign w:val="center"/>
          </w:tcPr>
          <w:p w14:paraId="5EDA335F">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90" w:type="pct"/>
            <w:vAlign w:val="center"/>
          </w:tcPr>
          <w:p w14:paraId="73D2CCED">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94" w:type="pct"/>
            <w:vAlign w:val="center"/>
          </w:tcPr>
          <w:p w14:paraId="26E91DD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6F1D7C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65" w:type="pct"/>
            <w:vAlign w:val="center"/>
          </w:tcPr>
          <w:p w14:paraId="1F47F2D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84" w:type="pct"/>
            <w:vAlign w:val="center"/>
          </w:tcPr>
          <w:p w14:paraId="156B9600">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2" w:type="pct"/>
            <w:vAlign w:val="center"/>
          </w:tcPr>
          <w:p w14:paraId="4D8DA962">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7187DC69">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53B38407">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65" w:type="pct"/>
            <w:vAlign w:val="center"/>
          </w:tcPr>
          <w:p w14:paraId="1CFAC7A4">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606" w:type="pct"/>
            <w:vAlign w:val="center"/>
          </w:tcPr>
          <w:p w14:paraId="0F3AD0E9">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67" w:type="pct"/>
            <w:vAlign w:val="center"/>
          </w:tcPr>
          <w:p w14:paraId="380CC9A1">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45" w:type="pct"/>
            <w:vAlign w:val="center"/>
          </w:tcPr>
          <w:p w14:paraId="55A3C635">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90" w:type="pct"/>
            <w:vAlign w:val="center"/>
          </w:tcPr>
          <w:p w14:paraId="7E34B702">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94" w:type="pct"/>
            <w:vAlign w:val="center"/>
          </w:tcPr>
          <w:p w14:paraId="2397792A">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517CB9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65" w:type="pct"/>
            <w:vAlign w:val="center"/>
          </w:tcPr>
          <w:p w14:paraId="7D1165E5">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84" w:type="pct"/>
            <w:vAlign w:val="center"/>
          </w:tcPr>
          <w:p w14:paraId="5C63B794">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2" w:type="pct"/>
            <w:vAlign w:val="center"/>
          </w:tcPr>
          <w:p w14:paraId="7672FDCA">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70BD711D">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03" w:type="pct"/>
            <w:vAlign w:val="center"/>
          </w:tcPr>
          <w:p w14:paraId="69BE37F0">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65" w:type="pct"/>
            <w:vAlign w:val="center"/>
          </w:tcPr>
          <w:p w14:paraId="442F6AAA">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606" w:type="pct"/>
            <w:vAlign w:val="center"/>
          </w:tcPr>
          <w:p w14:paraId="40313691">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467" w:type="pct"/>
            <w:vAlign w:val="center"/>
          </w:tcPr>
          <w:p w14:paraId="31E68E65">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45" w:type="pct"/>
            <w:vAlign w:val="center"/>
          </w:tcPr>
          <w:p w14:paraId="6359D0B1">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390" w:type="pct"/>
            <w:vAlign w:val="center"/>
          </w:tcPr>
          <w:p w14:paraId="5D56DC1A">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94" w:type="pct"/>
            <w:vAlign w:val="center"/>
          </w:tcPr>
          <w:p w14:paraId="4E5625A1">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bl>
    <w:p w14:paraId="0190046F">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p w14:paraId="6B1632EF">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p w14:paraId="59D7562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p w14:paraId="5F44F8F6">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附</w:t>
      </w:r>
      <w:bookmarkStart w:id="19" w:name="_Toc296891054"/>
      <w:bookmarkStart w:id="20" w:name="_Toc296503226"/>
      <w:bookmarkStart w:id="21" w:name="_Toc267261693"/>
      <w:bookmarkStart w:id="22" w:name="_Toc296944565"/>
      <w:bookmarkStart w:id="23" w:name="_Toc296891266"/>
      <w:bookmarkStart w:id="24" w:name="_Toc296346727"/>
      <w:bookmarkStart w:id="25" w:name="_Toc296347225"/>
      <w:r>
        <w:rPr>
          <w:rFonts w:hint="eastAsia" w:ascii="仿宋" w:hAnsi="仿宋" w:eastAsia="仿宋" w:cs="仿宋"/>
          <w:szCs w:val="21"/>
        </w:rPr>
        <w:t>件3：</w:t>
      </w:r>
      <w:bookmarkEnd w:id="19"/>
      <w:bookmarkEnd w:id="20"/>
      <w:bookmarkEnd w:id="21"/>
      <w:bookmarkEnd w:id="22"/>
      <w:bookmarkEnd w:id="23"/>
      <w:bookmarkEnd w:id="24"/>
      <w:bookmarkEnd w:id="25"/>
      <w:r>
        <w:rPr>
          <w:rFonts w:hint="eastAsia" w:ascii="仿宋" w:hAnsi="仿宋" w:eastAsia="仿宋" w:cs="仿宋"/>
          <w:szCs w:val="21"/>
        </w:rPr>
        <w:t xml:space="preserve">    </w:t>
      </w:r>
    </w:p>
    <w:p w14:paraId="5ABD6591">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工程质量保修书</w:t>
      </w:r>
    </w:p>
    <w:p w14:paraId="165D77E2">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发包人（全称）：</w:t>
      </w:r>
      <w:r>
        <w:rPr>
          <w:rFonts w:hint="eastAsia" w:ascii="仿宋" w:hAnsi="仿宋" w:eastAsia="仿宋" w:cs="仿宋"/>
          <w:szCs w:val="21"/>
          <w:u w:val="single"/>
        </w:rPr>
        <w:t xml:space="preserve">                                </w:t>
      </w:r>
      <w:r>
        <w:rPr>
          <w:rFonts w:hint="eastAsia" w:ascii="仿宋" w:hAnsi="仿宋" w:eastAsia="仿宋" w:cs="仿宋"/>
          <w:szCs w:val="21"/>
        </w:rPr>
        <w:t xml:space="preserve"> </w:t>
      </w:r>
    </w:p>
    <w:p w14:paraId="72C2EFBB">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承包人（全称）：</w:t>
      </w:r>
      <w:r>
        <w:rPr>
          <w:rFonts w:hint="eastAsia" w:ascii="仿宋" w:hAnsi="仿宋" w:eastAsia="仿宋" w:cs="仿宋"/>
          <w:szCs w:val="21"/>
          <w:u w:val="single"/>
        </w:rPr>
        <w:t xml:space="preserve">                                 </w:t>
      </w:r>
      <w:r>
        <w:rPr>
          <w:rFonts w:hint="eastAsia" w:ascii="仿宋" w:hAnsi="仿宋" w:eastAsia="仿宋" w:cs="仿宋"/>
          <w:szCs w:val="21"/>
        </w:rPr>
        <w:t xml:space="preserve"> </w:t>
      </w:r>
    </w:p>
    <w:p w14:paraId="55096355">
      <w:pPr>
        <w:keepNext w:val="0"/>
        <w:keepLines w:val="0"/>
        <w:pageBreakBefore w:val="0"/>
        <w:kinsoku/>
        <w:wordWrap/>
        <w:overflowPunct/>
        <w:topLinePunct w:val="0"/>
        <w:autoSpaceDE/>
        <w:autoSpaceDN/>
        <w:bidi w:val="0"/>
        <w:spacing w:line="360" w:lineRule="auto"/>
        <w:textAlignment w:val="auto"/>
        <w:rPr>
          <w:rFonts w:hint="default" w:ascii="仿宋" w:hAnsi="仿宋" w:eastAsia="仿宋" w:cs="仿宋"/>
          <w:szCs w:val="21"/>
          <w:lang w:val="en-US" w:eastAsia="zh-CN"/>
        </w:rPr>
      </w:pPr>
      <w:r>
        <w:rPr>
          <w:rFonts w:hint="eastAsia" w:ascii="仿宋" w:hAnsi="仿宋" w:eastAsia="仿宋" w:cs="仿宋"/>
          <w:szCs w:val="21"/>
          <w:lang w:eastAsia="zh-CN"/>
        </w:rPr>
        <w:t>监理（全称）：</w:t>
      </w:r>
      <w:r>
        <w:rPr>
          <w:rFonts w:hint="eastAsia" w:ascii="仿宋" w:hAnsi="仿宋" w:eastAsia="仿宋" w:cs="仿宋"/>
          <w:szCs w:val="21"/>
          <w:lang w:val="en-US" w:eastAsia="zh-CN"/>
        </w:rPr>
        <w:t xml:space="preserve"> </w:t>
      </w:r>
      <w:r>
        <w:rPr>
          <w:rFonts w:hint="eastAsia" w:ascii="仿宋" w:hAnsi="仿宋" w:eastAsia="仿宋" w:cs="仿宋"/>
          <w:szCs w:val="21"/>
          <w:u w:val="single"/>
          <w:lang w:val="en-US" w:eastAsia="zh-CN"/>
        </w:rPr>
        <w:t xml:space="preserve">                                   </w:t>
      </w:r>
    </w:p>
    <w:p w14:paraId="7090B33D">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　　发包人和承包人根据《中华人民共和国建筑法》和《建设工程质量管理条例》，经协商一致就</w:t>
      </w:r>
      <w:r>
        <w:rPr>
          <w:rFonts w:hint="eastAsia" w:ascii="仿宋" w:hAnsi="仿宋" w:eastAsia="仿宋" w:cs="仿宋"/>
          <w:szCs w:val="21"/>
          <w:u w:val="single"/>
        </w:rPr>
        <w:t xml:space="preserve">  </w:t>
      </w:r>
      <w:r>
        <w:rPr>
          <w:rFonts w:hint="eastAsia" w:ascii="仿宋" w:hAnsi="仿宋" w:eastAsia="仿宋" w:cs="仿宋"/>
          <w:szCs w:val="21"/>
          <w:u w:val="single"/>
          <w:lang w:eastAsia="zh-CN"/>
        </w:rPr>
        <w:t>西安市精神卫生中心</w:t>
      </w:r>
      <w:r>
        <w:rPr>
          <w:rFonts w:hint="eastAsia" w:ascii="仿宋" w:hAnsi="仿宋" w:eastAsia="仿宋" w:cs="仿宋"/>
          <w:szCs w:val="21"/>
          <w:u w:val="single"/>
        </w:rPr>
        <w:t xml:space="preserve">维修改造工程  </w:t>
      </w:r>
      <w:r>
        <w:rPr>
          <w:rFonts w:hint="eastAsia" w:ascii="仿宋" w:hAnsi="仿宋" w:eastAsia="仿宋" w:cs="仿宋"/>
          <w:szCs w:val="21"/>
        </w:rPr>
        <w:t>（工程全称）签订工程质量保修书。</w:t>
      </w:r>
    </w:p>
    <w:p w14:paraId="59C3185B">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　　一、工程质量保修范围和内容</w:t>
      </w:r>
    </w:p>
    <w:p w14:paraId="452FA0CF">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　　承包人在质量保修期内，按照有关法律规定和合同约定，承担工程质量保修责任。</w:t>
      </w:r>
    </w:p>
    <w:p w14:paraId="22D6985B">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　　质量保修范围包括</w:t>
      </w:r>
      <w:r>
        <w:rPr>
          <w:rFonts w:hint="eastAsia" w:ascii="仿宋" w:hAnsi="仿宋" w:eastAsia="仿宋" w:cs="仿宋"/>
          <w:szCs w:val="21"/>
          <w:lang w:eastAsia="zh-CN"/>
        </w:rPr>
        <w:t>本项目的所有施工工程。</w:t>
      </w:r>
      <w:r>
        <w:rPr>
          <w:rFonts w:hint="eastAsia" w:ascii="仿宋" w:hAnsi="仿宋" w:eastAsia="仿宋" w:cs="仿宋"/>
          <w:szCs w:val="21"/>
        </w:rPr>
        <w:t>具体保修的内容，双方约定如下：</w:t>
      </w:r>
    </w:p>
    <w:p w14:paraId="52B34641">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　　</w:t>
      </w:r>
      <w:r>
        <w:rPr>
          <w:rFonts w:hint="eastAsia" w:ascii="仿宋" w:hAnsi="仿宋" w:eastAsia="仿宋" w:cs="仿宋"/>
          <w:szCs w:val="21"/>
          <w:u w:val="single"/>
        </w:rPr>
        <w:t xml:space="preserve">  承包人施工的内容进行保修，凡属承包人施工质量问题引起的维修，均由承包人负责保修。因发包人或业主使用不当造成的返修费用由责任方负责。 </w:t>
      </w:r>
    </w:p>
    <w:p w14:paraId="75C4F394">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b/>
          <w:szCs w:val="21"/>
        </w:rPr>
        <w:t>　　</w:t>
      </w:r>
      <w:r>
        <w:rPr>
          <w:rFonts w:hint="eastAsia" w:ascii="仿宋" w:hAnsi="仿宋" w:eastAsia="仿宋" w:cs="仿宋"/>
          <w:szCs w:val="21"/>
        </w:rPr>
        <w:t>二、质量保修期</w:t>
      </w:r>
    </w:p>
    <w:p w14:paraId="1CADBFA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根据《建设工程质量管理条例》及有关规定，工程的质量保修期如下：</w:t>
      </w:r>
    </w:p>
    <w:p w14:paraId="6CC47548">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lang w:val="en-US" w:eastAsia="zh-CN"/>
        </w:rPr>
        <w:t>1</w:t>
      </w:r>
      <w:r>
        <w:rPr>
          <w:rFonts w:hint="eastAsia" w:ascii="仿宋" w:hAnsi="仿宋" w:eastAsia="仿宋" w:cs="仿宋"/>
          <w:szCs w:val="21"/>
        </w:rPr>
        <w:t>．</w:t>
      </w:r>
      <w:r>
        <w:rPr>
          <w:rFonts w:hint="eastAsia" w:ascii="仿宋" w:hAnsi="仿宋" w:eastAsia="仿宋" w:cs="仿宋"/>
          <w:szCs w:val="21"/>
          <w:lang w:eastAsia="zh-CN"/>
        </w:rPr>
        <w:t>防水工程</w:t>
      </w:r>
      <w:r>
        <w:rPr>
          <w:rFonts w:hint="eastAsia" w:ascii="仿宋" w:hAnsi="仿宋" w:eastAsia="仿宋" w:cs="仿宋"/>
          <w:szCs w:val="21"/>
        </w:rPr>
        <w:t>为</w:t>
      </w:r>
      <w:r>
        <w:rPr>
          <w:rFonts w:hint="eastAsia" w:ascii="仿宋" w:hAnsi="仿宋" w:eastAsia="仿宋" w:cs="仿宋"/>
          <w:szCs w:val="21"/>
          <w:u w:val="single"/>
        </w:rPr>
        <w:t xml:space="preserve">  5   </w:t>
      </w:r>
      <w:r>
        <w:rPr>
          <w:rFonts w:hint="eastAsia" w:ascii="仿宋" w:hAnsi="仿宋" w:eastAsia="仿宋" w:cs="仿宋"/>
          <w:szCs w:val="21"/>
        </w:rPr>
        <w:t>年；</w:t>
      </w:r>
    </w:p>
    <w:p w14:paraId="15E7B17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lang w:val="en-US" w:eastAsia="zh-CN"/>
        </w:rPr>
        <w:t>2</w:t>
      </w:r>
      <w:r>
        <w:rPr>
          <w:rFonts w:hint="eastAsia" w:ascii="仿宋" w:hAnsi="仿宋" w:eastAsia="仿宋" w:cs="仿宋"/>
          <w:szCs w:val="21"/>
        </w:rPr>
        <w:t>．</w:t>
      </w:r>
      <w:r>
        <w:rPr>
          <w:rFonts w:hint="eastAsia" w:ascii="仿宋" w:hAnsi="仿宋" w:eastAsia="仿宋" w:cs="仿宋"/>
          <w:szCs w:val="21"/>
          <w:lang w:eastAsia="zh-CN"/>
        </w:rPr>
        <w:t>其他</w:t>
      </w:r>
      <w:r>
        <w:rPr>
          <w:rFonts w:hint="eastAsia" w:ascii="仿宋" w:hAnsi="仿宋" w:eastAsia="仿宋" w:cs="仿宋"/>
          <w:szCs w:val="21"/>
        </w:rPr>
        <w:t>工程为</w:t>
      </w:r>
      <w:r>
        <w:rPr>
          <w:rFonts w:hint="eastAsia" w:ascii="仿宋" w:hAnsi="仿宋" w:eastAsia="仿宋" w:cs="仿宋"/>
          <w:szCs w:val="21"/>
          <w:u w:val="single"/>
        </w:rPr>
        <w:t xml:space="preserve">   2   </w:t>
      </w:r>
      <w:r>
        <w:rPr>
          <w:rFonts w:hint="eastAsia" w:ascii="仿宋" w:hAnsi="仿宋" w:eastAsia="仿宋" w:cs="仿宋"/>
          <w:szCs w:val="21"/>
        </w:rPr>
        <w:t>年；</w:t>
      </w:r>
    </w:p>
    <w:p w14:paraId="75B16185">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lang w:val="en-US" w:eastAsia="zh-CN"/>
        </w:rPr>
        <w:t>3</w:t>
      </w:r>
      <w:r>
        <w:rPr>
          <w:rFonts w:hint="eastAsia" w:ascii="仿宋" w:hAnsi="仿宋" w:eastAsia="仿宋" w:cs="仿宋"/>
          <w:szCs w:val="21"/>
        </w:rPr>
        <w:t>．其他项目保修期限约定如下：</w:t>
      </w:r>
    </w:p>
    <w:p w14:paraId="55D98F22">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u w:val="single"/>
        </w:rPr>
      </w:pPr>
      <w:r>
        <w:rPr>
          <w:rFonts w:hint="eastAsia" w:ascii="仿宋" w:hAnsi="仿宋" w:eastAsia="仿宋" w:cs="仿宋"/>
          <w:szCs w:val="21"/>
          <w:u w:val="single"/>
        </w:rPr>
        <w:t xml:space="preserve">   按照第279号令《建设工程质量管理条》相关规定执行（1）属于保修范围和内容的项目，承包人因在接到修理通知之日后7天内派人修理。承包人不在约定期限内派人修理，发包人可委托其他人修理，保修费用从质量保修金内扣除。（2）发生须紧急抢修事（如上水跑水、暖气漏水漏气、燃气漏气等）承包人接到事故通知后，应立即到达事故现场抢修。承包人事故质量引起的事故，抢修费用由发包人承担。（3）在国家规定的工程合理使用期限内，承包人取保地基基础工程和主体结构的质量，因承包人原因致使工程合理使用期限内造成人身和财产损害的，承包人因承担损害赔偿责任。（4）质量保修完成后，由发包人组织验收。</w:t>
      </w:r>
    </w:p>
    <w:p w14:paraId="06B42990">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　　质量保修期自工程竣工验收合格之日起计算。</w:t>
      </w:r>
    </w:p>
    <w:p w14:paraId="2DE50764">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三、缺陷责任期</w:t>
      </w:r>
    </w:p>
    <w:p w14:paraId="55999F38">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工程缺陷责任期为</w:t>
      </w:r>
      <w:r>
        <w:rPr>
          <w:rFonts w:hint="eastAsia" w:ascii="仿宋" w:hAnsi="仿宋" w:eastAsia="仿宋" w:cs="仿宋"/>
          <w:szCs w:val="21"/>
          <w:u w:val="single"/>
        </w:rPr>
        <w:t xml:space="preserve">  24  </w:t>
      </w:r>
      <w:r>
        <w:rPr>
          <w:rFonts w:hint="eastAsia" w:ascii="仿宋" w:hAnsi="仿宋" w:eastAsia="仿宋" w:cs="仿宋"/>
          <w:szCs w:val="21"/>
        </w:rPr>
        <w:t>个月，缺陷责任期自工程通过竣工验收之日起计算。单位工程先于全部工程进行验收，单位工程缺陷责任期自单位工程验收合格之日起算。</w:t>
      </w:r>
    </w:p>
    <w:p w14:paraId="4B9BAFD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四、质量保修责任</w:t>
      </w:r>
    </w:p>
    <w:p w14:paraId="5A6E0882">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1．属于保修范围、内容的项目，承包人应当在接到保修通知之日起7天内派人保修。承包人不在约定期限内派人保修的，发包人可以委托他人修理。</w:t>
      </w:r>
    </w:p>
    <w:p w14:paraId="656F7D15">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2．发生紧急事故需抢修的，承包人在接到事故通知后，应当立即到达事故现场抢修。</w:t>
      </w:r>
    </w:p>
    <w:p w14:paraId="6D6F4BD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D180FD2">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4．质量保修完成后，由发包人组织验收。</w:t>
      </w:r>
    </w:p>
    <w:p w14:paraId="7F271CCE">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　　五、保修费用</w:t>
      </w:r>
    </w:p>
    <w:p w14:paraId="52AAC919">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　　保修费用由造成质量缺陷的责任方承担。</w:t>
      </w:r>
    </w:p>
    <w:p w14:paraId="20EC6882">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u w:val="single"/>
        </w:rPr>
      </w:pPr>
      <w:r>
        <w:rPr>
          <w:rFonts w:hint="eastAsia" w:ascii="仿宋" w:hAnsi="仿宋" w:eastAsia="仿宋" w:cs="仿宋"/>
          <w:szCs w:val="21"/>
        </w:rPr>
        <w:t>六、双方约定的其他工程质量保修事项：</w:t>
      </w:r>
      <w:r>
        <w:rPr>
          <w:rFonts w:hint="eastAsia" w:ascii="仿宋" w:hAnsi="仿宋" w:eastAsia="仿宋" w:cs="仿宋"/>
          <w:szCs w:val="21"/>
          <w:u w:val="single"/>
        </w:rPr>
        <w:t xml:space="preserve">                                       </w:t>
      </w:r>
    </w:p>
    <w:p w14:paraId="1A0EACD8">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u w:val="single"/>
        </w:rPr>
        <w:t xml:space="preserve">                                                                                                                   </w:t>
      </w:r>
      <w:r>
        <w:rPr>
          <w:rFonts w:hint="eastAsia" w:ascii="仿宋" w:hAnsi="仿宋" w:eastAsia="仿宋" w:cs="仿宋"/>
          <w:szCs w:val="21"/>
        </w:rPr>
        <w:t>。</w:t>
      </w:r>
    </w:p>
    <w:p w14:paraId="58BB2B82">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工程质量保修书由发包人、承包人在工程竣工验收前共同签署，作为施工合同附件，其有效期限至保修期满。</w:t>
      </w:r>
    </w:p>
    <w:p w14:paraId="0FAFFFE1">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p w14:paraId="33244874">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发包人(公章)：</w:t>
      </w:r>
      <w:r>
        <w:rPr>
          <w:rFonts w:hint="eastAsia" w:ascii="仿宋" w:hAnsi="仿宋" w:eastAsia="仿宋" w:cs="仿宋"/>
          <w:szCs w:val="21"/>
          <w:u w:val="single"/>
        </w:rPr>
        <w:t xml:space="preserve">        </w:t>
      </w:r>
      <w:r>
        <w:rPr>
          <w:rFonts w:hint="eastAsia" w:ascii="仿宋" w:hAnsi="仿宋" w:eastAsia="仿宋" w:cs="仿宋"/>
          <w:szCs w:val="21"/>
        </w:rPr>
        <w:t xml:space="preserve">           承包人(公章)：</w:t>
      </w:r>
      <w:r>
        <w:rPr>
          <w:rFonts w:hint="eastAsia" w:ascii="仿宋" w:hAnsi="仿宋" w:eastAsia="仿宋" w:cs="仿宋"/>
          <w:szCs w:val="21"/>
          <w:u w:val="single"/>
        </w:rPr>
        <w:t xml:space="preserve">           </w:t>
      </w:r>
    </w:p>
    <w:p w14:paraId="23A76EE2">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地  址：</w:t>
      </w:r>
      <w:r>
        <w:rPr>
          <w:rFonts w:hint="eastAsia" w:ascii="仿宋" w:hAnsi="仿宋" w:eastAsia="仿宋" w:cs="仿宋"/>
          <w:szCs w:val="21"/>
          <w:u w:val="single"/>
        </w:rPr>
        <w:t xml:space="preserve">     </w:t>
      </w:r>
      <w:r>
        <w:rPr>
          <w:rFonts w:hint="eastAsia" w:ascii="仿宋" w:hAnsi="仿宋" w:eastAsia="仿宋" w:cs="仿宋"/>
          <w:szCs w:val="21"/>
        </w:rPr>
        <w:t xml:space="preserve">            地  址：</w:t>
      </w:r>
      <w:r>
        <w:rPr>
          <w:rFonts w:hint="eastAsia" w:ascii="仿宋" w:hAnsi="仿宋" w:eastAsia="仿宋" w:cs="仿宋"/>
          <w:szCs w:val="21"/>
          <w:u w:val="single"/>
        </w:rPr>
        <w:t xml:space="preserve">       </w:t>
      </w:r>
    </w:p>
    <w:p w14:paraId="6CB7463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法定代表人(签字)：</w:t>
      </w:r>
      <w:r>
        <w:rPr>
          <w:rFonts w:hint="eastAsia" w:ascii="仿宋" w:hAnsi="仿宋" w:eastAsia="仿宋" w:cs="仿宋"/>
          <w:szCs w:val="21"/>
          <w:u w:val="single"/>
        </w:rPr>
        <w:t xml:space="preserve">      </w:t>
      </w:r>
      <w:r>
        <w:rPr>
          <w:rFonts w:hint="eastAsia" w:ascii="仿宋" w:hAnsi="仿宋" w:eastAsia="仿宋" w:cs="仿宋"/>
          <w:szCs w:val="21"/>
        </w:rPr>
        <w:t xml:space="preserve">          法定代表人(签字)：</w:t>
      </w:r>
      <w:r>
        <w:rPr>
          <w:rFonts w:hint="eastAsia" w:ascii="仿宋" w:hAnsi="仿宋" w:eastAsia="仿宋" w:cs="仿宋"/>
          <w:szCs w:val="21"/>
          <w:u w:val="single"/>
        </w:rPr>
        <w:t xml:space="preserve">       </w:t>
      </w:r>
    </w:p>
    <w:p w14:paraId="119B7A45">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委托代理人(签字)：</w:t>
      </w:r>
      <w:r>
        <w:rPr>
          <w:rFonts w:hint="eastAsia" w:ascii="仿宋" w:hAnsi="仿宋" w:eastAsia="仿宋" w:cs="仿宋"/>
          <w:szCs w:val="21"/>
          <w:u w:val="single"/>
        </w:rPr>
        <w:t xml:space="preserve">      </w:t>
      </w:r>
      <w:r>
        <w:rPr>
          <w:rFonts w:hint="eastAsia" w:ascii="仿宋" w:hAnsi="仿宋" w:eastAsia="仿宋" w:cs="仿宋"/>
          <w:szCs w:val="21"/>
        </w:rPr>
        <w:t xml:space="preserve">          委托代理人(签字)：</w:t>
      </w:r>
      <w:r>
        <w:rPr>
          <w:rFonts w:hint="eastAsia" w:ascii="仿宋" w:hAnsi="仿宋" w:eastAsia="仿宋" w:cs="仿宋"/>
          <w:szCs w:val="21"/>
          <w:u w:val="single"/>
        </w:rPr>
        <w:t xml:space="preserve">       </w:t>
      </w:r>
    </w:p>
    <w:p w14:paraId="4EFF2736">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电  话：</w:t>
      </w:r>
      <w:r>
        <w:rPr>
          <w:rFonts w:hint="eastAsia" w:ascii="仿宋" w:hAnsi="仿宋" w:eastAsia="仿宋" w:cs="仿宋"/>
          <w:szCs w:val="21"/>
          <w:u w:val="single"/>
        </w:rPr>
        <w:t xml:space="preserve">   </w:t>
      </w:r>
      <w:r>
        <w:rPr>
          <w:rFonts w:hint="eastAsia" w:ascii="仿宋" w:hAnsi="仿宋" w:eastAsia="仿宋" w:cs="仿宋"/>
          <w:szCs w:val="21"/>
        </w:rPr>
        <w:t xml:space="preserve">           电  话：</w:t>
      </w:r>
      <w:r>
        <w:rPr>
          <w:rFonts w:hint="eastAsia" w:ascii="仿宋" w:hAnsi="仿宋" w:eastAsia="仿宋" w:cs="仿宋"/>
          <w:szCs w:val="21"/>
          <w:u w:val="single"/>
        </w:rPr>
        <w:t xml:space="preserve">     </w:t>
      </w:r>
    </w:p>
    <w:p w14:paraId="764DB648">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传  真：</w:t>
      </w:r>
      <w:r>
        <w:rPr>
          <w:rFonts w:hint="eastAsia" w:ascii="仿宋" w:hAnsi="仿宋" w:eastAsia="仿宋" w:cs="仿宋"/>
          <w:szCs w:val="21"/>
          <w:u w:val="single"/>
        </w:rPr>
        <w:t xml:space="preserve">   </w:t>
      </w:r>
      <w:r>
        <w:rPr>
          <w:rFonts w:hint="eastAsia" w:ascii="仿宋" w:hAnsi="仿宋" w:eastAsia="仿宋" w:cs="仿宋"/>
          <w:szCs w:val="21"/>
        </w:rPr>
        <w:t xml:space="preserve">           传  真：</w:t>
      </w:r>
      <w:r>
        <w:rPr>
          <w:rFonts w:hint="eastAsia" w:ascii="仿宋" w:hAnsi="仿宋" w:eastAsia="仿宋" w:cs="仿宋"/>
          <w:szCs w:val="21"/>
          <w:u w:val="single"/>
        </w:rPr>
        <w:t xml:space="preserve">     </w:t>
      </w:r>
    </w:p>
    <w:p w14:paraId="3D53EBC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开户银行：</w:t>
      </w:r>
      <w:r>
        <w:rPr>
          <w:rFonts w:hint="eastAsia" w:ascii="仿宋" w:hAnsi="仿宋" w:eastAsia="仿宋" w:cs="仿宋"/>
          <w:szCs w:val="21"/>
          <w:u w:val="single"/>
        </w:rPr>
        <w:t xml:space="preserve">   </w:t>
      </w:r>
      <w:r>
        <w:rPr>
          <w:rFonts w:hint="eastAsia" w:ascii="仿宋" w:hAnsi="仿宋" w:eastAsia="仿宋" w:cs="仿宋"/>
          <w:szCs w:val="21"/>
        </w:rPr>
        <w:t xml:space="preserve">           开户银行：</w:t>
      </w:r>
      <w:r>
        <w:rPr>
          <w:rFonts w:hint="eastAsia" w:ascii="仿宋" w:hAnsi="仿宋" w:eastAsia="仿宋" w:cs="仿宋"/>
          <w:szCs w:val="21"/>
          <w:u w:val="single"/>
        </w:rPr>
        <w:t xml:space="preserve">   </w:t>
      </w:r>
    </w:p>
    <w:p w14:paraId="602C650D">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账  号：</w:t>
      </w:r>
      <w:r>
        <w:rPr>
          <w:rFonts w:hint="eastAsia" w:ascii="仿宋" w:hAnsi="仿宋" w:eastAsia="仿宋" w:cs="仿宋"/>
          <w:szCs w:val="21"/>
          <w:u w:val="single"/>
        </w:rPr>
        <w:t xml:space="preserve">       </w:t>
      </w:r>
      <w:r>
        <w:rPr>
          <w:rFonts w:hint="eastAsia" w:ascii="仿宋" w:hAnsi="仿宋" w:eastAsia="仿宋" w:cs="仿宋"/>
          <w:szCs w:val="21"/>
        </w:rPr>
        <w:t xml:space="preserve">           账  号：</w:t>
      </w:r>
      <w:r>
        <w:rPr>
          <w:rFonts w:hint="eastAsia" w:ascii="仿宋" w:hAnsi="仿宋" w:eastAsia="仿宋" w:cs="仿宋"/>
          <w:szCs w:val="21"/>
          <w:u w:val="single"/>
        </w:rPr>
        <w:t xml:space="preserve">     </w:t>
      </w:r>
    </w:p>
    <w:p w14:paraId="062B875B">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邮政编码：</w:t>
      </w:r>
      <w:r>
        <w:rPr>
          <w:rFonts w:hint="eastAsia" w:ascii="仿宋" w:hAnsi="仿宋" w:eastAsia="仿宋" w:cs="仿宋"/>
          <w:szCs w:val="21"/>
          <w:u w:val="single"/>
        </w:rPr>
        <w:t xml:space="preserve">     </w:t>
      </w:r>
      <w:r>
        <w:rPr>
          <w:rFonts w:hint="eastAsia" w:ascii="仿宋" w:hAnsi="仿宋" w:eastAsia="仿宋" w:cs="仿宋"/>
          <w:szCs w:val="21"/>
        </w:rPr>
        <w:t xml:space="preserve">           邮政编码：</w:t>
      </w:r>
      <w:r>
        <w:rPr>
          <w:rFonts w:hint="eastAsia" w:ascii="仿宋" w:hAnsi="仿宋" w:eastAsia="仿宋" w:cs="仿宋"/>
          <w:szCs w:val="21"/>
          <w:u w:val="single"/>
        </w:rPr>
        <w:t xml:space="preserve">   </w:t>
      </w:r>
      <w:r>
        <w:rPr>
          <w:rFonts w:hint="eastAsia" w:ascii="仿宋" w:hAnsi="仿宋" w:eastAsia="仿宋" w:cs="仿宋"/>
          <w:b/>
          <w:szCs w:val="21"/>
        </w:rPr>
        <w:br w:type="page"/>
      </w:r>
      <w:r>
        <w:rPr>
          <w:rFonts w:hint="eastAsia" w:ascii="仿宋" w:hAnsi="仿宋" w:eastAsia="仿宋" w:cs="仿宋"/>
          <w:szCs w:val="21"/>
        </w:rPr>
        <w:t>附件4：</w:t>
      </w:r>
    </w:p>
    <w:p w14:paraId="6927090D">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承包人主要施工管理人员表</w:t>
      </w:r>
    </w:p>
    <w:tbl>
      <w:tblPr>
        <w:tblStyle w:val="7"/>
        <w:tblW w:w="509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624"/>
        <w:gridCol w:w="1231"/>
        <w:gridCol w:w="984"/>
        <w:gridCol w:w="984"/>
        <w:gridCol w:w="3690"/>
      </w:tblGrid>
      <w:tr w14:paraId="3EC47A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9" w:hRule="atLeast"/>
          <w:jc w:val="center"/>
        </w:trPr>
        <w:tc>
          <w:tcPr>
            <w:tcW w:w="954" w:type="pct"/>
            <w:tcBorders>
              <w:top w:val="single" w:color="auto" w:sz="12" w:space="0"/>
              <w:bottom w:val="double" w:color="auto" w:sz="6" w:space="0"/>
            </w:tcBorders>
            <w:vAlign w:val="center"/>
          </w:tcPr>
          <w:p w14:paraId="023DB05F">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名    称</w:t>
            </w:r>
          </w:p>
        </w:tc>
        <w:tc>
          <w:tcPr>
            <w:tcW w:w="723" w:type="pct"/>
            <w:tcBorders>
              <w:top w:val="single" w:color="auto" w:sz="12" w:space="0"/>
              <w:bottom w:val="double" w:color="auto" w:sz="6" w:space="0"/>
            </w:tcBorders>
            <w:vAlign w:val="center"/>
          </w:tcPr>
          <w:p w14:paraId="0AE4CD86">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姓名</w:t>
            </w:r>
          </w:p>
        </w:tc>
        <w:tc>
          <w:tcPr>
            <w:tcW w:w="578" w:type="pct"/>
            <w:tcBorders>
              <w:top w:val="single" w:color="auto" w:sz="12" w:space="0"/>
              <w:bottom w:val="double" w:color="auto" w:sz="6" w:space="0"/>
            </w:tcBorders>
            <w:vAlign w:val="center"/>
          </w:tcPr>
          <w:p w14:paraId="6B15F61E">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职务</w:t>
            </w:r>
          </w:p>
        </w:tc>
        <w:tc>
          <w:tcPr>
            <w:tcW w:w="578" w:type="pct"/>
            <w:tcBorders>
              <w:top w:val="single" w:color="auto" w:sz="12" w:space="0"/>
              <w:bottom w:val="double" w:color="auto" w:sz="6" w:space="0"/>
            </w:tcBorders>
            <w:vAlign w:val="center"/>
          </w:tcPr>
          <w:p w14:paraId="30C2B4D2">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职称</w:t>
            </w:r>
          </w:p>
        </w:tc>
        <w:tc>
          <w:tcPr>
            <w:tcW w:w="2167" w:type="pct"/>
            <w:tcBorders>
              <w:top w:val="single" w:color="auto" w:sz="12" w:space="0"/>
              <w:bottom w:val="double" w:color="auto" w:sz="6" w:space="0"/>
            </w:tcBorders>
            <w:vAlign w:val="center"/>
          </w:tcPr>
          <w:p w14:paraId="7402754D">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主要资历、经验及承担过的项目</w:t>
            </w:r>
          </w:p>
        </w:tc>
      </w:tr>
      <w:tr w14:paraId="144D2E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9" w:hRule="atLeast"/>
          <w:jc w:val="center"/>
        </w:trPr>
        <w:tc>
          <w:tcPr>
            <w:tcW w:w="5000" w:type="pct"/>
            <w:gridSpan w:val="5"/>
            <w:tcBorders>
              <w:top w:val="double" w:color="auto" w:sz="6" w:space="0"/>
              <w:bottom w:val="single" w:color="auto" w:sz="6" w:space="0"/>
            </w:tcBorders>
            <w:vAlign w:val="center"/>
          </w:tcPr>
          <w:p w14:paraId="3B037C1E">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一、总部人员</w:t>
            </w:r>
          </w:p>
        </w:tc>
      </w:tr>
      <w:tr w14:paraId="010DCD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9" w:hRule="atLeast"/>
          <w:jc w:val="center"/>
        </w:trPr>
        <w:tc>
          <w:tcPr>
            <w:tcW w:w="954" w:type="pct"/>
            <w:tcBorders>
              <w:top w:val="nil"/>
              <w:bottom w:val="nil"/>
            </w:tcBorders>
            <w:vAlign w:val="center"/>
          </w:tcPr>
          <w:p w14:paraId="688B371A">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项目主管</w:t>
            </w:r>
          </w:p>
        </w:tc>
        <w:tc>
          <w:tcPr>
            <w:tcW w:w="723" w:type="pct"/>
            <w:tcBorders>
              <w:top w:val="nil"/>
            </w:tcBorders>
            <w:vAlign w:val="center"/>
          </w:tcPr>
          <w:p w14:paraId="2B7F4B49">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tcBorders>
              <w:top w:val="nil"/>
            </w:tcBorders>
            <w:vAlign w:val="center"/>
          </w:tcPr>
          <w:p w14:paraId="224F2170">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tcBorders>
              <w:top w:val="nil"/>
            </w:tcBorders>
            <w:vAlign w:val="center"/>
          </w:tcPr>
          <w:p w14:paraId="4D51531B">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167" w:type="pct"/>
            <w:tcBorders>
              <w:top w:val="nil"/>
            </w:tcBorders>
            <w:vAlign w:val="center"/>
          </w:tcPr>
          <w:p w14:paraId="78C96E7B">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2DE146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9" w:hRule="atLeast"/>
          <w:jc w:val="center"/>
        </w:trPr>
        <w:tc>
          <w:tcPr>
            <w:tcW w:w="954" w:type="pct"/>
            <w:tcBorders>
              <w:top w:val="single" w:color="auto" w:sz="6" w:space="0"/>
              <w:bottom w:val="nil"/>
            </w:tcBorders>
            <w:vAlign w:val="center"/>
          </w:tcPr>
          <w:p w14:paraId="2B4FE63D">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723" w:type="pct"/>
            <w:vAlign w:val="center"/>
          </w:tcPr>
          <w:p w14:paraId="6B5AF90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vAlign w:val="center"/>
          </w:tcPr>
          <w:p w14:paraId="2577B415">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vAlign w:val="center"/>
          </w:tcPr>
          <w:p w14:paraId="76C8256E">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167" w:type="pct"/>
            <w:vAlign w:val="center"/>
          </w:tcPr>
          <w:p w14:paraId="5D7B48BD">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57E588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9" w:hRule="atLeast"/>
          <w:jc w:val="center"/>
        </w:trPr>
        <w:tc>
          <w:tcPr>
            <w:tcW w:w="954" w:type="pct"/>
            <w:tcBorders>
              <w:top w:val="nil"/>
              <w:bottom w:val="nil"/>
            </w:tcBorders>
            <w:vAlign w:val="center"/>
          </w:tcPr>
          <w:p w14:paraId="3A07555F">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其他人员</w:t>
            </w:r>
          </w:p>
        </w:tc>
        <w:tc>
          <w:tcPr>
            <w:tcW w:w="723" w:type="pct"/>
            <w:vAlign w:val="center"/>
          </w:tcPr>
          <w:p w14:paraId="02CFAE68">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vAlign w:val="center"/>
          </w:tcPr>
          <w:p w14:paraId="5441C45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vAlign w:val="center"/>
          </w:tcPr>
          <w:p w14:paraId="1400848B">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167" w:type="pct"/>
            <w:vAlign w:val="center"/>
          </w:tcPr>
          <w:p w14:paraId="724F7648">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451A46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9" w:hRule="atLeast"/>
          <w:jc w:val="center"/>
        </w:trPr>
        <w:tc>
          <w:tcPr>
            <w:tcW w:w="954" w:type="pct"/>
            <w:tcBorders>
              <w:top w:val="nil"/>
              <w:bottom w:val="nil"/>
            </w:tcBorders>
            <w:vAlign w:val="center"/>
          </w:tcPr>
          <w:p w14:paraId="4BFC3167">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723" w:type="pct"/>
            <w:vAlign w:val="center"/>
          </w:tcPr>
          <w:p w14:paraId="4AC7F719">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vAlign w:val="center"/>
          </w:tcPr>
          <w:p w14:paraId="445369CD">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vAlign w:val="center"/>
          </w:tcPr>
          <w:p w14:paraId="0CB0265B">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167" w:type="pct"/>
            <w:vAlign w:val="center"/>
          </w:tcPr>
          <w:p w14:paraId="7050F8C4">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244E45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9" w:hRule="atLeast"/>
          <w:jc w:val="center"/>
        </w:trPr>
        <w:tc>
          <w:tcPr>
            <w:tcW w:w="5000" w:type="pct"/>
            <w:gridSpan w:val="5"/>
            <w:tcBorders>
              <w:top w:val="single" w:color="auto" w:sz="6" w:space="0"/>
              <w:bottom w:val="single" w:color="auto" w:sz="6" w:space="0"/>
            </w:tcBorders>
            <w:vAlign w:val="center"/>
          </w:tcPr>
          <w:p w14:paraId="0A7323C4">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二、现场人员</w:t>
            </w:r>
          </w:p>
        </w:tc>
      </w:tr>
      <w:tr w14:paraId="44B753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9" w:hRule="atLeast"/>
          <w:jc w:val="center"/>
        </w:trPr>
        <w:tc>
          <w:tcPr>
            <w:tcW w:w="954" w:type="pct"/>
            <w:tcBorders>
              <w:top w:val="single" w:color="auto" w:sz="6" w:space="0"/>
              <w:bottom w:val="single" w:color="auto" w:sz="6" w:space="0"/>
            </w:tcBorders>
            <w:vAlign w:val="center"/>
          </w:tcPr>
          <w:p w14:paraId="08368CE2">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项目经理</w:t>
            </w:r>
          </w:p>
        </w:tc>
        <w:tc>
          <w:tcPr>
            <w:tcW w:w="723" w:type="pct"/>
            <w:vAlign w:val="center"/>
          </w:tcPr>
          <w:p w14:paraId="43E879F8">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vAlign w:val="center"/>
          </w:tcPr>
          <w:p w14:paraId="56CDC730">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vAlign w:val="center"/>
          </w:tcPr>
          <w:p w14:paraId="43F0C977">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167" w:type="pct"/>
            <w:vAlign w:val="center"/>
          </w:tcPr>
          <w:p w14:paraId="50899C42">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68F60D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9" w:hRule="atLeast"/>
          <w:jc w:val="center"/>
        </w:trPr>
        <w:tc>
          <w:tcPr>
            <w:tcW w:w="954" w:type="pct"/>
            <w:tcBorders>
              <w:top w:val="single" w:color="auto" w:sz="6" w:space="0"/>
              <w:bottom w:val="single" w:color="auto" w:sz="6" w:space="0"/>
            </w:tcBorders>
            <w:vAlign w:val="center"/>
          </w:tcPr>
          <w:p w14:paraId="58DC5F8B">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项目副经理</w:t>
            </w:r>
          </w:p>
        </w:tc>
        <w:tc>
          <w:tcPr>
            <w:tcW w:w="723" w:type="pct"/>
            <w:vAlign w:val="center"/>
          </w:tcPr>
          <w:p w14:paraId="68B37C37">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vAlign w:val="center"/>
          </w:tcPr>
          <w:p w14:paraId="4428EAC9">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vAlign w:val="center"/>
          </w:tcPr>
          <w:p w14:paraId="30C59DBF">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167" w:type="pct"/>
            <w:vAlign w:val="center"/>
          </w:tcPr>
          <w:p w14:paraId="09B28DC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3410E1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9" w:hRule="atLeast"/>
          <w:jc w:val="center"/>
        </w:trPr>
        <w:tc>
          <w:tcPr>
            <w:tcW w:w="954" w:type="pct"/>
            <w:tcBorders>
              <w:top w:val="single" w:color="auto" w:sz="6" w:space="0"/>
              <w:bottom w:val="single" w:color="auto" w:sz="6" w:space="0"/>
            </w:tcBorders>
            <w:vAlign w:val="center"/>
          </w:tcPr>
          <w:p w14:paraId="3341B3B5">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技术负责人</w:t>
            </w:r>
          </w:p>
        </w:tc>
        <w:tc>
          <w:tcPr>
            <w:tcW w:w="723" w:type="pct"/>
            <w:vAlign w:val="center"/>
          </w:tcPr>
          <w:p w14:paraId="52FFA517">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vAlign w:val="center"/>
          </w:tcPr>
          <w:p w14:paraId="75DCBA7D">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vAlign w:val="center"/>
          </w:tcPr>
          <w:p w14:paraId="5E688889">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167" w:type="pct"/>
            <w:vAlign w:val="center"/>
          </w:tcPr>
          <w:p w14:paraId="1AB5D810">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3EB1CD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9" w:hRule="atLeast"/>
          <w:jc w:val="center"/>
        </w:trPr>
        <w:tc>
          <w:tcPr>
            <w:tcW w:w="954" w:type="pct"/>
            <w:tcBorders>
              <w:top w:val="single" w:color="auto" w:sz="6" w:space="0"/>
              <w:bottom w:val="single" w:color="auto" w:sz="6" w:space="0"/>
            </w:tcBorders>
            <w:vAlign w:val="center"/>
          </w:tcPr>
          <w:p w14:paraId="301CF995">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造价管理</w:t>
            </w:r>
          </w:p>
        </w:tc>
        <w:tc>
          <w:tcPr>
            <w:tcW w:w="723" w:type="pct"/>
            <w:vAlign w:val="center"/>
          </w:tcPr>
          <w:p w14:paraId="758E986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vAlign w:val="center"/>
          </w:tcPr>
          <w:p w14:paraId="16F840CF">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vAlign w:val="center"/>
          </w:tcPr>
          <w:p w14:paraId="26FE6504">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167" w:type="pct"/>
            <w:vAlign w:val="center"/>
          </w:tcPr>
          <w:p w14:paraId="53720158">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505B24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9" w:hRule="atLeast"/>
          <w:jc w:val="center"/>
        </w:trPr>
        <w:tc>
          <w:tcPr>
            <w:tcW w:w="954" w:type="pct"/>
            <w:tcBorders>
              <w:top w:val="single" w:color="auto" w:sz="6" w:space="0"/>
              <w:bottom w:val="single" w:color="auto" w:sz="6" w:space="0"/>
            </w:tcBorders>
            <w:vAlign w:val="center"/>
          </w:tcPr>
          <w:p w14:paraId="600372D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质量管理</w:t>
            </w:r>
          </w:p>
        </w:tc>
        <w:tc>
          <w:tcPr>
            <w:tcW w:w="723" w:type="pct"/>
            <w:vAlign w:val="center"/>
          </w:tcPr>
          <w:p w14:paraId="48599C75">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vAlign w:val="center"/>
          </w:tcPr>
          <w:p w14:paraId="113D14A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vAlign w:val="center"/>
          </w:tcPr>
          <w:p w14:paraId="1E3096CF">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167" w:type="pct"/>
            <w:vAlign w:val="center"/>
          </w:tcPr>
          <w:p w14:paraId="691EF540">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694F6B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9" w:hRule="atLeast"/>
          <w:jc w:val="center"/>
        </w:trPr>
        <w:tc>
          <w:tcPr>
            <w:tcW w:w="954" w:type="pct"/>
            <w:tcBorders>
              <w:top w:val="single" w:color="auto" w:sz="6" w:space="0"/>
              <w:bottom w:val="single" w:color="auto" w:sz="6" w:space="0"/>
            </w:tcBorders>
            <w:vAlign w:val="center"/>
          </w:tcPr>
          <w:p w14:paraId="1F386C9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材料管理</w:t>
            </w:r>
          </w:p>
        </w:tc>
        <w:tc>
          <w:tcPr>
            <w:tcW w:w="723" w:type="pct"/>
            <w:vAlign w:val="center"/>
          </w:tcPr>
          <w:p w14:paraId="1360F0EE">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vAlign w:val="center"/>
          </w:tcPr>
          <w:p w14:paraId="595158B2">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vAlign w:val="center"/>
          </w:tcPr>
          <w:p w14:paraId="4598E0C9">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167" w:type="pct"/>
            <w:vAlign w:val="center"/>
          </w:tcPr>
          <w:p w14:paraId="362D11E0">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485327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9" w:hRule="atLeast"/>
          <w:jc w:val="center"/>
        </w:trPr>
        <w:tc>
          <w:tcPr>
            <w:tcW w:w="954" w:type="pct"/>
            <w:tcBorders>
              <w:top w:val="single" w:color="auto" w:sz="6" w:space="0"/>
              <w:bottom w:val="single" w:color="auto" w:sz="6" w:space="0"/>
            </w:tcBorders>
            <w:vAlign w:val="center"/>
          </w:tcPr>
          <w:p w14:paraId="46B958EE">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计划管理</w:t>
            </w:r>
          </w:p>
        </w:tc>
        <w:tc>
          <w:tcPr>
            <w:tcW w:w="723" w:type="pct"/>
            <w:vAlign w:val="center"/>
          </w:tcPr>
          <w:p w14:paraId="4A635B08">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vAlign w:val="center"/>
          </w:tcPr>
          <w:p w14:paraId="4618C04E">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vAlign w:val="center"/>
          </w:tcPr>
          <w:p w14:paraId="3D45565C">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167" w:type="pct"/>
            <w:vAlign w:val="center"/>
          </w:tcPr>
          <w:p w14:paraId="098A22CF">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03B1A4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9" w:hRule="atLeast"/>
          <w:jc w:val="center"/>
        </w:trPr>
        <w:tc>
          <w:tcPr>
            <w:tcW w:w="954" w:type="pct"/>
            <w:tcBorders>
              <w:top w:val="single" w:color="auto" w:sz="6" w:space="0"/>
              <w:bottom w:val="single" w:color="auto" w:sz="6" w:space="0"/>
            </w:tcBorders>
            <w:vAlign w:val="center"/>
          </w:tcPr>
          <w:p w14:paraId="0494A298">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安全管理</w:t>
            </w:r>
          </w:p>
        </w:tc>
        <w:tc>
          <w:tcPr>
            <w:tcW w:w="723" w:type="pct"/>
            <w:vAlign w:val="center"/>
          </w:tcPr>
          <w:p w14:paraId="07ED42A0">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vAlign w:val="center"/>
          </w:tcPr>
          <w:p w14:paraId="4BFF77D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vAlign w:val="center"/>
          </w:tcPr>
          <w:p w14:paraId="5128FFBF">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167" w:type="pct"/>
            <w:vAlign w:val="center"/>
          </w:tcPr>
          <w:p w14:paraId="00E7CB1E">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5D12F2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9" w:hRule="atLeast"/>
          <w:jc w:val="center"/>
        </w:trPr>
        <w:tc>
          <w:tcPr>
            <w:tcW w:w="954" w:type="pct"/>
            <w:vMerge w:val="restart"/>
            <w:tcBorders>
              <w:top w:val="single" w:color="auto" w:sz="6" w:space="0"/>
            </w:tcBorders>
            <w:vAlign w:val="center"/>
          </w:tcPr>
          <w:p w14:paraId="1591A10D">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r>
              <w:rPr>
                <w:rFonts w:hint="eastAsia" w:ascii="仿宋" w:hAnsi="仿宋" w:eastAsia="仿宋" w:cs="仿宋"/>
                <w:szCs w:val="21"/>
              </w:rPr>
              <w:t>其他人员</w:t>
            </w:r>
          </w:p>
        </w:tc>
        <w:tc>
          <w:tcPr>
            <w:tcW w:w="723" w:type="pct"/>
            <w:vAlign w:val="center"/>
          </w:tcPr>
          <w:p w14:paraId="6406374D">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vAlign w:val="center"/>
          </w:tcPr>
          <w:p w14:paraId="4D4660DE">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vAlign w:val="center"/>
          </w:tcPr>
          <w:p w14:paraId="2A8E6274">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167" w:type="pct"/>
            <w:vAlign w:val="center"/>
          </w:tcPr>
          <w:p w14:paraId="4E1706C4">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3E51D5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70" w:hRule="atLeast"/>
          <w:jc w:val="center"/>
        </w:trPr>
        <w:tc>
          <w:tcPr>
            <w:tcW w:w="954" w:type="pct"/>
            <w:vMerge w:val="continue"/>
            <w:vAlign w:val="center"/>
          </w:tcPr>
          <w:p w14:paraId="2516FC39">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723" w:type="pct"/>
            <w:tcBorders>
              <w:bottom w:val="nil"/>
            </w:tcBorders>
            <w:vAlign w:val="center"/>
          </w:tcPr>
          <w:p w14:paraId="53DF3544">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tcBorders>
              <w:bottom w:val="nil"/>
            </w:tcBorders>
            <w:vAlign w:val="center"/>
          </w:tcPr>
          <w:p w14:paraId="5005C8F1">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tcBorders>
              <w:bottom w:val="nil"/>
            </w:tcBorders>
            <w:vAlign w:val="center"/>
          </w:tcPr>
          <w:p w14:paraId="2B5E0031">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167" w:type="pct"/>
            <w:tcBorders>
              <w:bottom w:val="nil"/>
            </w:tcBorders>
            <w:vAlign w:val="center"/>
          </w:tcPr>
          <w:p w14:paraId="34F35625">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68C709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70" w:hRule="atLeast"/>
          <w:jc w:val="center"/>
        </w:trPr>
        <w:tc>
          <w:tcPr>
            <w:tcW w:w="954" w:type="pct"/>
            <w:vMerge w:val="continue"/>
            <w:vAlign w:val="center"/>
          </w:tcPr>
          <w:p w14:paraId="2CDF3E4B">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723" w:type="pct"/>
            <w:vAlign w:val="center"/>
          </w:tcPr>
          <w:p w14:paraId="3BD8BB7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vAlign w:val="center"/>
          </w:tcPr>
          <w:p w14:paraId="50B4ABE7">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vAlign w:val="center"/>
          </w:tcPr>
          <w:p w14:paraId="69157A00">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167" w:type="pct"/>
            <w:vAlign w:val="center"/>
          </w:tcPr>
          <w:p w14:paraId="623F84E4">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3C5521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70" w:hRule="atLeast"/>
          <w:jc w:val="center"/>
        </w:trPr>
        <w:tc>
          <w:tcPr>
            <w:tcW w:w="954" w:type="pct"/>
            <w:vMerge w:val="continue"/>
            <w:vAlign w:val="center"/>
          </w:tcPr>
          <w:p w14:paraId="6AD38DE7">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723" w:type="pct"/>
            <w:vAlign w:val="center"/>
          </w:tcPr>
          <w:p w14:paraId="672E2B1F">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vAlign w:val="center"/>
          </w:tcPr>
          <w:p w14:paraId="3DFE6979">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vAlign w:val="center"/>
          </w:tcPr>
          <w:p w14:paraId="77A82A2E">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167" w:type="pct"/>
            <w:vAlign w:val="center"/>
          </w:tcPr>
          <w:p w14:paraId="4EFFA8ED">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14EDA2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70" w:hRule="atLeast"/>
          <w:jc w:val="center"/>
        </w:trPr>
        <w:tc>
          <w:tcPr>
            <w:tcW w:w="954" w:type="pct"/>
            <w:vMerge w:val="continue"/>
            <w:vAlign w:val="center"/>
          </w:tcPr>
          <w:p w14:paraId="35F6B2AE">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723" w:type="pct"/>
            <w:vAlign w:val="center"/>
          </w:tcPr>
          <w:p w14:paraId="68B816B6">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vAlign w:val="center"/>
          </w:tcPr>
          <w:p w14:paraId="2635E78E">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vAlign w:val="center"/>
          </w:tcPr>
          <w:p w14:paraId="0AC4E1AE">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167" w:type="pct"/>
            <w:vAlign w:val="center"/>
          </w:tcPr>
          <w:p w14:paraId="6CFA0826">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r w14:paraId="0C7BB6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70" w:hRule="atLeast"/>
          <w:jc w:val="center"/>
        </w:trPr>
        <w:tc>
          <w:tcPr>
            <w:tcW w:w="954" w:type="pct"/>
            <w:vMerge w:val="continue"/>
            <w:tcBorders>
              <w:bottom w:val="single" w:color="auto" w:sz="12" w:space="0"/>
            </w:tcBorders>
            <w:vAlign w:val="center"/>
          </w:tcPr>
          <w:p w14:paraId="4D4A405A">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723" w:type="pct"/>
            <w:tcBorders>
              <w:bottom w:val="single" w:color="auto" w:sz="12" w:space="0"/>
            </w:tcBorders>
            <w:vAlign w:val="center"/>
          </w:tcPr>
          <w:p w14:paraId="7636EED6">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tcBorders>
              <w:bottom w:val="single" w:color="auto" w:sz="12" w:space="0"/>
            </w:tcBorders>
            <w:vAlign w:val="center"/>
          </w:tcPr>
          <w:p w14:paraId="7F5A9FF7">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578" w:type="pct"/>
            <w:tcBorders>
              <w:bottom w:val="single" w:color="auto" w:sz="12" w:space="0"/>
            </w:tcBorders>
            <w:vAlign w:val="center"/>
          </w:tcPr>
          <w:p w14:paraId="38456299">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c>
          <w:tcPr>
            <w:tcW w:w="2167" w:type="pct"/>
            <w:tcBorders>
              <w:bottom w:val="single" w:color="auto" w:sz="12" w:space="0"/>
            </w:tcBorders>
            <w:vAlign w:val="center"/>
          </w:tcPr>
          <w:p w14:paraId="3BED61CD">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Cs w:val="21"/>
              </w:rPr>
            </w:pPr>
          </w:p>
        </w:tc>
      </w:tr>
    </w:tbl>
    <w:p w14:paraId="0CE202F6">
      <w:pPr>
        <w:rPr>
          <w:highlight w:val="none"/>
        </w:rPr>
      </w:pPr>
    </w:p>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00E915">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CC8F59">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3F92A7">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83F92A7">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920CB7">
    <w:pPr>
      <w:pStyle w:val="6"/>
      <w:rPr>
        <w:rStyle w:val="10"/>
        <w:b w:val="0"/>
        <w:bCs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7E68EB"/>
    <w:multiLevelType w:val="singleLevel"/>
    <w:tmpl w:val="2C7E68E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99293C"/>
    <w:rsid w:val="1B3726EA"/>
    <w:rsid w:val="1D073193"/>
    <w:rsid w:val="3C096491"/>
    <w:rsid w:val="74992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widowControl/>
      <w:tabs>
        <w:tab w:val="left" w:pos="720"/>
      </w:tabs>
      <w:jc w:val="center"/>
      <w:outlineLvl w:val="1"/>
    </w:pPr>
    <w:rPr>
      <w:rFonts w:ascii="宋体" w:hAnsi="宋体"/>
      <w:b/>
      <w:color w:val="000000"/>
      <w:kern w:val="0"/>
      <w:sz w:val="30"/>
      <w:szCs w:val="30"/>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 w:type="paragraph" w:styleId="4">
    <w:name w:val="annotation text"/>
    <w:basedOn w:val="1"/>
    <w:qFormat/>
    <w:uiPriority w:val="0"/>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bottom w:val="single" w:color="auto" w:sz="6" w:space="1"/>
      </w:pBdr>
      <w:tabs>
        <w:tab w:val="center" w:pos="4153"/>
        <w:tab w:val="right" w:pos="8306"/>
      </w:tabs>
      <w:snapToGrid w:val="0"/>
      <w:jc w:val="center"/>
    </w:pPr>
    <w:rPr>
      <w:rFonts w:ascii="Tahoma" w:hAnsi="Tahoma" w:eastAsia="微软雅黑" w:cs="黑体"/>
      <w:kern w:val="0"/>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0"/>
    <w:rPr>
      <w:b/>
      <w:bCs/>
    </w:rPr>
  </w:style>
  <w:style w:type="paragraph" w:customStyle="1" w:styleId="11">
    <w:name w:val="表格文字"/>
    <w:basedOn w:val="1"/>
    <w:next w:val="1"/>
    <w:qFormat/>
    <w:uiPriority w:val="0"/>
    <w:pPr>
      <w:widowControl w:val="0"/>
      <w:spacing w:beforeLines="10" w:afterLines="10" w:line="240" w:lineRule="auto"/>
      <w:ind w:firstLine="0" w:firstLineChars="0"/>
      <w:jc w:val="left"/>
    </w:pPr>
    <w:rPr>
      <w:rFonts w:ascii="Times New Roman" w:hAnsi="Times New Roman"/>
      <w:bCs/>
      <w:spacing w:val="10"/>
      <w:kern w:val="0"/>
      <w:sz w:val="21"/>
      <w:szCs w:val="20"/>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列出段落1"/>
    <w:qFormat/>
    <w:uiPriority w:val="34"/>
    <w:pPr>
      <w:widowControl w:val="0"/>
      <w:ind w:firstLine="420" w:firstLineChars="200"/>
      <w:jc w:val="both"/>
    </w:pPr>
    <w:rPr>
      <w:rFonts w:ascii="Calibri" w:hAnsi="Calibri" w:eastAsia="宋体" w:cs="黑体"/>
      <w:kern w:val="2"/>
      <w:sz w:val="24"/>
      <w:szCs w:val="22"/>
      <w:lang w:val="en-US" w:eastAsia="zh-CN" w:bidi="ar-SA"/>
    </w:rPr>
  </w:style>
  <w:style w:type="paragraph" w:customStyle="1" w:styleId="14">
    <w:name w:val="正文（缩进 2 字符）"/>
    <w:basedOn w:val="1"/>
    <w:qFormat/>
    <w:uiPriority w:val="0"/>
    <w:pPr>
      <w:spacing w:line="360" w:lineRule="auto"/>
      <w:ind w:firstLine="200" w:firstLineChars="200"/>
    </w:pPr>
    <w:rPr>
      <w:rFonts w:ascii="Calibri" w:hAnsi="Calibri" w:eastAsia="宋体"/>
      <w:szCs w:val="22"/>
      <w:lang w:val="zh-CN"/>
    </w:rPr>
  </w:style>
  <w:style w:type="paragraph" w:styleId="15">
    <w:name w:val="List Paragraph"/>
    <w:basedOn w:val="1"/>
    <w:qFormat/>
    <w:uiPriority w:val="34"/>
    <w:pPr>
      <w:ind w:firstLine="420" w:firstLineChars="200"/>
    </w:pPr>
    <w:rPr>
      <w:rFonts w:ascii="Calibri" w:hAnsi="Calibri" w:eastAsia="宋体" w:cs="Times New Roman"/>
      <w:szCs w:val="22"/>
    </w:rPr>
  </w:style>
  <w:style w:type="paragraph" w:customStyle="1" w:styleId="1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4001</Words>
  <Characters>4018</Characters>
  <Lines>0</Lines>
  <Paragraphs>0</Paragraphs>
  <TotalTime>2</TotalTime>
  <ScaleCrop>false</ScaleCrop>
  <LinksUpToDate>false</LinksUpToDate>
  <CharactersWithSpaces>4184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2025-06-27T06:37:00Z</dcterms:created>
  <dc:creator>十</dc:creator>
  <cp:lastModifiedBy>Li_JF</cp:lastModifiedBy>
  <dcterms:modified xsi:type="dcterms:W3CDTF">2025-11-05T01:54:04Z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1FD0FAD603A84534AEF6F636D080BAE4_11</vt:lpwstr>
  </property>
  <property fmtid="{D5CDD505-2E9C-101B-9397-08002B2CF9AE}" pid="4" name="KSOTemplateDocerSaveRecord">
    <vt:lpwstr>eyJoZGlkIjoiMGEyMzlhN2VhYTZmZDVjZjJjMTAyOTgwYzBjNTM2YTgiLCJ1c2VySWQiOiIxMDMxMjc4NzA5In0=</vt:lpwstr>
  </property>
</Properties>
</file>